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15863" w14:textId="77777777" w:rsidR="00A71259" w:rsidRDefault="00BA0D2D" w:rsidP="00BA0D2D">
      <w:pPr>
        <w:jc w:val="right"/>
      </w:pPr>
      <w:r>
        <w:rPr>
          <w:noProof/>
          <w:lang w:eastAsia="en-GB"/>
        </w:rPr>
        <w:drawing>
          <wp:inline distT="0" distB="0" distL="0" distR="0" wp14:anchorId="578C049E" wp14:editId="319A0EF2">
            <wp:extent cx="1690370" cy="619125"/>
            <wp:effectExtent l="0" t="0" r="5080" b="9525"/>
            <wp:docPr id="1" name="Picture 1" descr="iTEC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EC 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370" cy="619125"/>
                    </a:xfrm>
                    <a:prstGeom prst="rect">
                      <a:avLst/>
                    </a:prstGeom>
                    <a:noFill/>
                    <a:ln>
                      <a:noFill/>
                    </a:ln>
                  </pic:spPr>
                </pic:pic>
              </a:graphicData>
            </a:graphic>
          </wp:inline>
        </w:drawing>
      </w:r>
      <w:r>
        <w:t xml:space="preserve">           </w:t>
      </w:r>
      <w:r w:rsidR="00A71259">
        <w:rPr>
          <w:noProof/>
          <w:lang w:eastAsia="en-GB"/>
        </w:rPr>
        <w:drawing>
          <wp:inline distT="0" distB="0" distL="0" distR="0" wp14:anchorId="7E3C22D1" wp14:editId="6410A203">
            <wp:extent cx="1902460" cy="526415"/>
            <wp:effectExtent l="0" t="0" r="2540" b="6985"/>
            <wp:docPr id="3" name="Picture 3" descr="VTCT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CT Logo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2460" cy="526415"/>
                    </a:xfrm>
                    <a:prstGeom prst="rect">
                      <a:avLst/>
                    </a:prstGeom>
                    <a:noFill/>
                    <a:ln>
                      <a:noFill/>
                    </a:ln>
                  </pic:spPr>
                </pic:pic>
              </a:graphicData>
            </a:graphic>
          </wp:inline>
        </w:drawing>
      </w:r>
      <w:r>
        <w:t xml:space="preserve"> </w:t>
      </w:r>
    </w:p>
    <w:p w14:paraId="65687CDE" w14:textId="77777777" w:rsidR="00726597" w:rsidRDefault="00726597" w:rsidP="00726597">
      <w:pPr>
        <w:tabs>
          <w:tab w:val="left" w:pos="1980"/>
        </w:tabs>
      </w:pPr>
      <w:r>
        <w:tab/>
      </w:r>
    </w:p>
    <w:p w14:paraId="748B459C" w14:textId="77777777" w:rsidR="00F25FE9" w:rsidRDefault="00F25FE9" w:rsidP="00735D34"/>
    <w:p w14:paraId="1DFA6045" w14:textId="77777777" w:rsidR="00F77413" w:rsidRDefault="00F77413" w:rsidP="00735D34"/>
    <w:p w14:paraId="294BEE71" w14:textId="77777777" w:rsidR="009E5A05" w:rsidRDefault="009E5A05" w:rsidP="00735D34"/>
    <w:p w14:paraId="61072171" w14:textId="77777777" w:rsidR="009E5A05" w:rsidRDefault="009E5A05" w:rsidP="00735D34"/>
    <w:p w14:paraId="699AD553" w14:textId="77777777" w:rsidR="00726597" w:rsidRDefault="00726597" w:rsidP="00735D34"/>
    <w:p w14:paraId="73F6B2DB" w14:textId="77777777" w:rsidR="00F77413" w:rsidRPr="005A39CB" w:rsidRDefault="00F25FE9" w:rsidP="00735D34">
      <w:pPr>
        <w:pStyle w:val="Frontpageheading"/>
      </w:pPr>
      <w:r>
        <w:t>Unit</w:t>
      </w:r>
      <w:r w:rsidR="00F77413" w:rsidRPr="005A39CB">
        <w:t xml:space="preserve"> Specification</w:t>
      </w:r>
    </w:p>
    <w:p w14:paraId="5A38765D" w14:textId="7B87F1DD" w:rsidR="00F77413" w:rsidRPr="002818CD" w:rsidRDefault="003D6715" w:rsidP="00735D34">
      <w:pPr>
        <w:pStyle w:val="Qaultile"/>
      </w:pPr>
      <w:r>
        <w:t>UMA1</w:t>
      </w:r>
      <w:r w:rsidR="00CC2B09">
        <w:t xml:space="preserve"> </w:t>
      </w:r>
      <w:r w:rsidR="005F70D5" w:rsidRPr="002818CD">
        <w:t>–</w:t>
      </w:r>
      <w:r w:rsidR="00F77413" w:rsidRPr="002818CD">
        <w:t xml:space="preserve"> </w:t>
      </w:r>
      <w:r w:rsidR="00F438C4" w:rsidRPr="00F438C4">
        <w:rPr>
          <w:szCs w:val="40"/>
        </w:rPr>
        <w:t xml:space="preserve">Principles of aesthetic </w:t>
      </w:r>
      <w:r w:rsidR="002F74D6">
        <w:rPr>
          <w:szCs w:val="40"/>
        </w:rPr>
        <w:t>pr</w:t>
      </w:r>
      <w:r w:rsidR="00A9708A">
        <w:rPr>
          <w:szCs w:val="40"/>
        </w:rPr>
        <w:t>ocedures</w:t>
      </w:r>
      <w:r w:rsidR="009434CA">
        <w:rPr>
          <w:sz w:val="22"/>
        </w:rPr>
        <w:t xml:space="preserve"> </w:t>
      </w:r>
    </w:p>
    <w:p w14:paraId="4321C2E6" w14:textId="666EDBA9" w:rsidR="002F4DBC" w:rsidRPr="002818CD" w:rsidRDefault="00F25FE9" w:rsidP="005C2D6B">
      <w:pPr>
        <w:pStyle w:val="QN"/>
      </w:pPr>
      <w:r w:rsidRPr="002818CD">
        <w:t xml:space="preserve">Unit reference number: </w:t>
      </w:r>
      <w:r w:rsidR="00AC63D5" w:rsidRPr="00AC63D5">
        <w:t>D/618/1671</w:t>
      </w:r>
    </w:p>
    <w:p w14:paraId="013EC7BA" w14:textId="77777777" w:rsidR="002F4DBC" w:rsidRPr="002818CD" w:rsidRDefault="002F4DBC" w:rsidP="00735D34"/>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16"/>
      </w:tblGrid>
      <w:tr w:rsidR="00F25FE9" w14:paraId="29F1CE1A" w14:textId="77777777" w:rsidTr="00392B0B">
        <w:trPr>
          <w:trHeight w:val="266"/>
        </w:trPr>
        <w:tc>
          <w:tcPr>
            <w:tcW w:w="9016" w:type="dxa"/>
            <w:shd w:val="clear" w:color="auto" w:fill="EFDFF5"/>
            <w:tcMar>
              <w:top w:w="57" w:type="dxa"/>
              <w:bottom w:w="57" w:type="dxa"/>
            </w:tcMar>
          </w:tcPr>
          <w:p w14:paraId="6080D9B3" w14:textId="77777777" w:rsidR="00F25FE9" w:rsidRPr="002818CD" w:rsidRDefault="00CF44D5" w:rsidP="00F25FE9">
            <w:pPr>
              <w:rPr>
                <w:b/>
                <w:sz w:val="28"/>
              </w:rPr>
            </w:pPr>
            <w:r w:rsidRPr="002818CD">
              <w:rPr>
                <w:b/>
                <w:sz w:val="28"/>
              </w:rPr>
              <w:t xml:space="preserve">Level: </w:t>
            </w:r>
            <w:r w:rsidR="00A56E82">
              <w:rPr>
                <w:b/>
                <w:sz w:val="28"/>
              </w:rPr>
              <w:t>7</w:t>
            </w:r>
          </w:p>
          <w:p w14:paraId="4AE4F778" w14:textId="0B1187F2" w:rsidR="00F25FE9" w:rsidRDefault="00CF44D5" w:rsidP="009E5A05">
            <w:pPr>
              <w:rPr>
                <w:b/>
                <w:sz w:val="28"/>
              </w:rPr>
            </w:pPr>
            <w:r w:rsidRPr="002818CD">
              <w:rPr>
                <w:b/>
                <w:sz w:val="28"/>
              </w:rPr>
              <w:t xml:space="preserve">Guided Learning (GL) hours: </w:t>
            </w:r>
            <w:r w:rsidR="00AA0165">
              <w:rPr>
                <w:b/>
                <w:sz w:val="28"/>
              </w:rPr>
              <w:t>2</w:t>
            </w:r>
            <w:r w:rsidR="00290F45">
              <w:rPr>
                <w:b/>
                <w:sz w:val="28"/>
              </w:rPr>
              <w:t>5</w:t>
            </w:r>
          </w:p>
          <w:p w14:paraId="4A2C8B88" w14:textId="1BBB3F78" w:rsidR="00F438C4" w:rsidRDefault="00F438C4" w:rsidP="009E5A05">
            <w:r>
              <w:rPr>
                <w:b/>
                <w:sz w:val="28"/>
              </w:rPr>
              <w:t xml:space="preserve">Credit </w:t>
            </w:r>
            <w:r w:rsidR="00290F45">
              <w:rPr>
                <w:b/>
                <w:sz w:val="28"/>
              </w:rPr>
              <w:t>value: 9</w:t>
            </w:r>
          </w:p>
        </w:tc>
      </w:tr>
    </w:tbl>
    <w:p w14:paraId="3C7C924A" w14:textId="77777777" w:rsidR="00F25FE9" w:rsidRDefault="00F25FE9" w:rsidP="00F25FE9">
      <w:pPr>
        <w:spacing w:after="0"/>
      </w:pPr>
    </w:p>
    <w:p w14:paraId="1204E85E" w14:textId="77777777" w:rsidR="002F4DBC" w:rsidRPr="00F25FE9" w:rsidRDefault="00996239" w:rsidP="002F4DBC">
      <w:pPr>
        <w:pStyle w:val="Heading2"/>
        <w:rPr>
          <w:b/>
          <w:color w:val="262626" w:themeColor="text1" w:themeTint="D9"/>
        </w:rPr>
      </w:pPr>
      <w:r>
        <w:rPr>
          <w:b/>
          <w:color w:val="262626" w:themeColor="text1" w:themeTint="D9"/>
        </w:rPr>
        <w:t>Learning aim</w:t>
      </w:r>
    </w:p>
    <w:p w14:paraId="4C7BA5EA" w14:textId="0F3F36A0" w:rsidR="00CF44D5" w:rsidRDefault="00CC135B" w:rsidP="00056ADD">
      <w:r w:rsidRPr="00F669B1">
        <w:t xml:space="preserve">The aim of this unit is </w:t>
      </w:r>
      <w:r w:rsidR="00CB155C">
        <w:t>to familiarise</w:t>
      </w:r>
      <w:r w:rsidRPr="00F669B1">
        <w:t xml:space="preserve"> </w:t>
      </w:r>
      <w:r w:rsidR="00DA0218" w:rsidRPr="00F669B1">
        <w:t>learners with</w:t>
      </w:r>
      <w:r w:rsidRPr="00F669B1">
        <w:t xml:space="preserve"> the historical development of aesthetic </w:t>
      </w:r>
      <w:r w:rsidR="00E50A4A">
        <w:t>procedures</w:t>
      </w:r>
      <w:r w:rsidR="00876801">
        <w:t xml:space="preserve"> and</w:t>
      </w:r>
      <w:r w:rsidRPr="00F669B1">
        <w:t xml:space="preserve"> </w:t>
      </w:r>
      <w:r w:rsidR="00CB155C">
        <w:t>to facilitate</w:t>
      </w:r>
      <w:r>
        <w:t xml:space="preserve"> an </w:t>
      </w:r>
      <w:r w:rsidRPr="00F669B1">
        <w:t>a</w:t>
      </w:r>
      <w:r>
        <w:t>dvance</w:t>
      </w:r>
      <w:r w:rsidR="001A3768">
        <w:t>d</w:t>
      </w:r>
      <w:r w:rsidRPr="00F669B1">
        <w:t xml:space="preserve"> awareness of the economic development and growth of the aesthetic sector. Learners will examine the</w:t>
      </w:r>
      <w:r w:rsidR="00D17D73">
        <w:t xml:space="preserve"> safe practices</w:t>
      </w:r>
      <w:r w:rsidR="001F6F9E">
        <w:t>,</w:t>
      </w:r>
      <w:r w:rsidRPr="00F669B1">
        <w:t xml:space="preserve"> legal </w:t>
      </w:r>
      <w:proofErr w:type="gramStart"/>
      <w:r w:rsidRPr="00F669B1">
        <w:t>obligations</w:t>
      </w:r>
      <w:proofErr w:type="gramEnd"/>
      <w:r w:rsidRPr="00F669B1">
        <w:t xml:space="preserve"> </w:t>
      </w:r>
      <w:r w:rsidR="001F6F9E">
        <w:t>and marketing responsibilities</w:t>
      </w:r>
      <w:r w:rsidR="00CB155C">
        <w:t>, whilst</w:t>
      </w:r>
      <w:r w:rsidRPr="00F669B1">
        <w:t xml:space="preserve"> </w:t>
      </w:r>
      <w:r w:rsidR="00775261">
        <w:t>developing an</w:t>
      </w:r>
      <w:r w:rsidR="00CB155C">
        <w:t xml:space="preserve"> understanding of</w:t>
      </w:r>
      <w:r w:rsidRPr="00F669B1">
        <w:t xml:space="preserve"> the </w:t>
      </w:r>
      <w:r w:rsidR="00876801">
        <w:t xml:space="preserve">lack of regulation </w:t>
      </w:r>
      <w:r w:rsidRPr="00F669B1">
        <w:t xml:space="preserve">within </w:t>
      </w:r>
      <w:r w:rsidR="00876801">
        <w:t xml:space="preserve">the discipline </w:t>
      </w:r>
      <w:r w:rsidRPr="00F669B1">
        <w:t xml:space="preserve">aesthetic </w:t>
      </w:r>
      <w:r w:rsidR="00876801">
        <w:t xml:space="preserve">practice. </w:t>
      </w:r>
    </w:p>
    <w:p w14:paraId="3E98E789" w14:textId="77777777" w:rsidR="00735D34" w:rsidRPr="00F25FE9" w:rsidRDefault="00F25FE9" w:rsidP="00F25FE9">
      <w:pPr>
        <w:pStyle w:val="Heading2"/>
        <w:rPr>
          <w:b/>
          <w:color w:val="262626" w:themeColor="text1" w:themeTint="D9"/>
        </w:rPr>
      </w:pPr>
      <w:r w:rsidRPr="00F25FE9">
        <w:rPr>
          <w:b/>
          <w:color w:val="262626" w:themeColor="text1" w:themeTint="D9"/>
        </w:rPr>
        <w:t>Learning outcomes</w:t>
      </w:r>
    </w:p>
    <w:p w14:paraId="0AF75155" w14:textId="77777777" w:rsidR="00F25FE9" w:rsidRDefault="00F25FE9" w:rsidP="00F25FE9">
      <w:r>
        <w:t>On completion of this unit, learners will:</w:t>
      </w:r>
    </w:p>
    <w:p w14:paraId="49D396A3" w14:textId="099FA6F7" w:rsidR="002A0F14" w:rsidRPr="002A0F14" w:rsidRDefault="002A0F14" w:rsidP="002A0F14">
      <w:pPr>
        <w:pStyle w:val="Default"/>
        <w:rPr>
          <w:rFonts w:asciiTheme="minorHAnsi" w:hAnsiTheme="minorHAnsi" w:cstheme="minorHAnsi"/>
          <w:color w:val="auto"/>
        </w:rPr>
      </w:pPr>
      <w:r>
        <w:rPr>
          <w:rFonts w:asciiTheme="minorHAnsi" w:hAnsiTheme="minorHAnsi" w:cstheme="minorHAnsi"/>
          <w:color w:val="auto"/>
          <w:sz w:val="22"/>
          <w:szCs w:val="22"/>
        </w:rPr>
        <w:t xml:space="preserve">LO1 Critically </w:t>
      </w:r>
      <w:r w:rsidR="00140884">
        <w:rPr>
          <w:rFonts w:asciiTheme="minorHAnsi" w:hAnsiTheme="minorHAnsi" w:cstheme="minorHAnsi"/>
          <w:color w:val="auto"/>
          <w:sz w:val="22"/>
          <w:szCs w:val="22"/>
        </w:rPr>
        <w:t xml:space="preserve">analyse the historical and </w:t>
      </w:r>
      <w:r w:rsidRPr="002A0F14">
        <w:rPr>
          <w:rFonts w:asciiTheme="minorHAnsi" w:hAnsiTheme="minorHAnsi" w:cstheme="minorHAnsi"/>
          <w:color w:val="auto"/>
          <w:sz w:val="22"/>
          <w:szCs w:val="22"/>
        </w:rPr>
        <w:t xml:space="preserve">economic contexts of aesthetic </w:t>
      </w:r>
      <w:proofErr w:type="gramStart"/>
      <w:r w:rsidRPr="002A0F14">
        <w:rPr>
          <w:rFonts w:asciiTheme="minorHAnsi" w:hAnsiTheme="minorHAnsi" w:cstheme="minorHAnsi"/>
          <w:color w:val="auto"/>
          <w:sz w:val="22"/>
          <w:szCs w:val="22"/>
        </w:rPr>
        <w:t>practice</w:t>
      </w:r>
      <w:proofErr w:type="gramEnd"/>
      <w:r w:rsidRPr="002A0F14">
        <w:rPr>
          <w:rFonts w:asciiTheme="minorHAnsi" w:hAnsiTheme="minorHAnsi" w:cstheme="minorHAnsi"/>
          <w:color w:val="auto"/>
          <w:sz w:val="22"/>
          <w:szCs w:val="22"/>
        </w:rPr>
        <w:t xml:space="preserve"> </w:t>
      </w:r>
    </w:p>
    <w:p w14:paraId="5546CF3E" w14:textId="15093186" w:rsidR="002A0F14" w:rsidRPr="00137F97" w:rsidRDefault="002A0F14" w:rsidP="002A0F14">
      <w:pPr>
        <w:pStyle w:val="Default"/>
        <w:rPr>
          <w:rFonts w:asciiTheme="minorHAnsi" w:hAnsiTheme="minorHAnsi" w:cstheme="minorHAnsi"/>
          <w:color w:val="auto"/>
          <w:sz w:val="22"/>
          <w:szCs w:val="22"/>
        </w:rPr>
      </w:pPr>
      <w:r w:rsidRPr="002A0F14">
        <w:rPr>
          <w:rFonts w:asciiTheme="minorHAnsi" w:hAnsiTheme="minorHAnsi" w:cstheme="minorHAnsi"/>
          <w:color w:val="auto"/>
          <w:sz w:val="22"/>
          <w:szCs w:val="22"/>
        </w:rPr>
        <w:t>LO2 Appraise the impact of regulation and the role of the regulators within the context of</w:t>
      </w:r>
      <w:r w:rsidRPr="00CB6B3C">
        <w:rPr>
          <w:rFonts w:asciiTheme="minorHAnsi" w:hAnsiTheme="minorHAnsi" w:cstheme="minorHAnsi"/>
          <w:color w:val="auto"/>
          <w:sz w:val="22"/>
          <w:szCs w:val="22"/>
        </w:rPr>
        <w:t xml:space="preserve"> aesthetic </w:t>
      </w:r>
      <w:proofErr w:type="gramStart"/>
      <w:r>
        <w:rPr>
          <w:rFonts w:asciiTheme="minorHAnsi" w:hAnsiTheme="minorHAnsi" w:cstheme="minorHAnsi"/>
          <w:color w:val="auto"/>
          <w:sz w:val="22"/>
          <w:szCs w:val="22"/>
        </w:rPr>
        <w:t>practice</w:t>
      </w:r>
      <w:proofErr w:type="gramEnd"/>
      <w:r w:rsidRPr="00CB6B3C">
        <w:rPr>
          <w:rFonts w:asciiTheme="minorHAnsi" w:hAnsiTheme="minorHAnsi" w:cstheme="minorHAnsi"/>
          <w:color w:val="auto"/>
          <w:sz w:val="22"/>
          <w:szCs w:val="22"/>
        </w:rPr>
        <w:t xml:space="preserve"> </w:t>
      </w:r>
    </w:p>
    <w:p w14:paraId="18896A2C" w14:textId="729647DC" w:rsidR="002A0F14" w:rsidRDefault="002A0F14" w:rsidP="002A0F14">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LO3 </w:t>
      </w:r>
      <w:r w:rsidR="00891F3E">
        <w:rPr>
          <w:rFonts w:asciiTheme="minorHAnsi" w:hAnsiTheme="minorHAnsi" w:cstheme="minorHAnsi"/>
          <w:color w:val="auto"/>
          <w:sz w:val="22"/>
          <w:szCs w:val="22"/>
        </w:rPr>
        <w:t>Critically analyse</w:t>
      </w:r>
      <w:r>
        <w:rPr>
          <w:rFonts w:asciiTheme="minorHAnsi" w:hAnsiTheme="minorHAnsi" w:cstheme="minorHAnsi"/>
          <w:color w:val="auto"/>
          <w:sz w:val="22"/>
          <w:szCs w:val="22"/>
        </w:rPr>
        <w:t xml:space="preserve"> the key marketing responsibilities in relation to aesthetic </w:t>
      </w:r>
      <w:proofErr w:type="gramStart"/>
      <w:r>
        <w:rPr>
          <w:rFonts w:asciiTheme="minorHAnsi" w:hAnsiTheme="minorHAnsi" w:cstheme="minorHAnsi"/>
          <w:color w:val="auto"/>
          <w:sz w:val="22"/>
          <w:szCs w:val="22"/>
        </w:rPr>
        <w:t>practice</w:t>
      </w:r>
      <w:proofErr w:type="gramEnd"/>
    </w:p>
    <w:p w14:paraId="6ABADBFE" w14:textId="56ED4F4B" w:rsidR="002A0F14" w:rsidRPr="00CB6B3C" w:rsidRDefault="002A0F14" w:rsidP="002A0F14">
      <w:pPr>
        <w:pStyle w:val="Default"/>
        <w:rPr>
          <w:rFonts w:asciiTheme="minorHAnsi" w:hAnsiTheme="minorHAnsi" w:cstheme="minorHAnsi"/>
          <w:color w:val="auto"/>
        </w:rPr>
      </w:pPr>
      <w:r>
        <w:rPr>
          <w:rFonts w:asciiTheme="minorHAnsi" w:hAnsiTheme="minorHAnsi" w:cstheme="minorHAnsi"/>
          <w:color w:val="auto"/>
          <w:sz w:val="22"/>
          <w:szCs w:val="22"/>
        </w:rPr>
        <w:t xml:space="preserve">LO4 </w:t>
      </w:r>
      <w:r w:rsidR="007E0133" w:rsidRPr="007E0133">
        <w:rPr>
          <w:rFonts w:asciiTheme="minorHAnsi" w:hAnsiTheme="minorHAnsi" w:cstheme="minorHAnsi"/>
          <w:color w:val="auto"/>
          <w:sz w:val="22"/>
          <w:szCs w:val="22"/>
        </w:rPr>
        <w:t>Integrate</w:t>
      </w:r>
      <w:r w:rsidRPr="007E0133">
        <w:rPr>
          <w:rFonts w:asciiTheme="minorHAnsi" w:hAnsiTheme="minorHAnsi" w:cstheme="minorHAnsi"/>
          <w:color w:val="auto"/>
          <w:sz w:val="22"/>
          <w:szCs w:val="22"/>
        </w:rPr>
        <w:t xml:space="preserve"> knowledge</w:t>
      </w:r>
      <w:r>
        <w:rPr>
          <w:rFonts w:asciiTheme="minorHAnsi" w:hAnsiTheme="minorHAnsi" w:cstheme="minorHAnsi"/>
          <w:color w:val="auto"/>
          <w:sz w:val="22"/>
          <w:szCs w:val="22"/>
        </w:rPr>
        <w:t xml:space="preserve"> of the health and </w:t>
      </w:r>
      <w:r w:rsidRPr="00CB6B3C">
        <w:rPr>
          <w:rFonts w:asciiTheme="minorHAnsi" w:hAnsiTheme="minorHAnsi" w:cstheme="minorHAnsi"/>
          <w:color w:val="auto"/>
          <w:sz w:val="22"/>
          <w:szCs w:val="22"/>
        </w:rPr>
        <w:t xml:space="preserve">safety requirements associated with aesthetic </w:t>
      </w:r>
      <w:proofErr w:type="gramStart"/>
      <w:r>
        <w:rPr>
          <w:rFonts w:asciiTheme="minorHAnsi" w:hAnsiTheme="minorHAnsi" w:cstheme="minorHAnsi"/>
          <w:color w:val="auto"/>
          <w:sz w:val="22"/>
          <w:szCs w:val="22"/>
        </w:rPr>
        <w:t>practice</w:t>
      </w:r>
      <w:proofErr w:type="gramEnd"/>
      <w:r w:rsidRPr="00CB6B3C">
        <w:rPr>
          <w:rFonts w:asciiTheme="minorHAnsi" w:hAnsiTheme="minorHAnsi" w:cstheme="minorHAnsi"/>
          <w:color w:val="auto"/>
          <w:sz w:val="22"/>
          <w:szCs w:val="22"/>
        </w:rPr>
        <w:t xml:space="preserve">  </w:t>
      </w:r>
    </w:p>
    <w:p w14:paraId="1FC2E889" w14:textId="77777777" w:rsidR="008732FB" w:rsidRDefault="008732FB" w:rsidP="009E5A05">
      <w:pPr>
        <w:pStyle w:val="LO"/>
      </w:pPr>
    </w:p>
    <w:p w14:paraId="135F8D37" w14:textId="77777777" w:rsidR="008732FB" w:rsidRDefault="008732FB" w:rsidP="009E5A05">
      <w:pPr>
        <w:pStyle w:val="LO"/>
      </w:pPr>
    </w:p>
    <w:p w14:paraId="53B9285B" w14:textId="77777777" w:rsidR="00BB0E89" w:rsidRPr="00A71259" w:rsidRDefault="00B74EED" w:rsidP="008732FB">
      <w:pPr>
        <w:pStyle w:val="LO"/>
      </w:pPr>
      <w:r w:rsidRPr="002818CD">
        <w:t xml:space="preserve"> </w:t>
      </w:r>
      <w:r w:rsidR="00BB0E89">
        <w:br w:type="page"/>
      </w:r>
    </w:p>
    <w:p w14:paraId="014E1FCD" w14:textId="77777777" w:rsidR="00BB0E89" w:rsidRDefault="00BB0E89" w:rsidP="00BB0E89">
      <w:pPr>
        <w:pStyle w:val="Heading1"/>
      </w:pPr>
      <w:r w:rsidRPr="00BB0E89">
        <w:lastRenderedPageBreak/>
        <w:t>Unit content</w:t>
      </w:r>
    </w:p>
    <w:p w14:paraId="2D26AECD" w14:textId="3ABEB8E0" w:rsidR="00360464" w:rsidRPr="00360464" w:rsidRDefault="00B74EED" w:rsidP="00056ADD">
      <w:pPr>
        <w:pStyle w:val="Heading2"/>
      </w:pPr>
      <w:r w:rsidRPr="00360464">
        <w:t xml:space="preserve">LO1 </w:t>
      </w:r>
      <w:r w:rsidR="002A0F14">
        <w:t xml:space="preserve">Critically analyse </w:t>
      </w:r>
      <w:r w:rsidR="00360464" w:rsidRPr="00056ADD">
        <w:t>t</w:t>
      </w:r>
      <w:r w:rsidR="00360464" w:rsidRPr="00360464">
        <w:t>he historical</w:t>
      </w:r>
      <w:r w:rsidR="00AB3767">
        <w:t xml:space="preserve"> and</w:t>
      </w:r>
      <w:r w:rsidR="005704C4">
        <w:t xml:space="preserve"> economic </w:t>
      </w:r>
      <w:r w:rsidR="00360464" w:rsidRPr="00360464">
        <w:t>context</w:t>
      </w:r>
      <w:r w:rsidR="005704C4">
        <w:t>s</w:t>
      </w:r>
      <w:r w:rsidR="00360464" w:rsidRPr="00360464">
        <w:t xml:space="preserve"> of aesthetic </w:t>
      </w:r>
      <w:proofErr w:type="gramStart"/>
      <w:r w:rsidR="00E50A4A">
        <w:t>practice</w:t>
      </w:r>
      <w:proofErr w:type="gramEnd"/>
      <w:r w:rsidR="00360464" w:rsidRPr="00360464">
        <w:t xml:space="preserve"> </w:t>
      </w:r>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16"/>
      </w:tblGrid>
      <w:tr w:rsidR="00EC4B06" w:rsidRPr="007F0350" w14:paraId="3F252780" w14:textId="77777777" w:rsidTr="00EC4B06">
        <w:tc>
          <w:tcPr>
            <w:tcW w:w="5000" w:type="pct"/>
            <w:shd w:val="clear" w:color="auto" w:fill="EFDFF5"/>
            <w:tcMar>
              <w:top w:w="57" w:type="dxa"/>
              <w:bottom w:w="57" w:type="dxa"/>
            </w:tcMar>
            <w:vAlign w:val="center"/>
          </w:tcPr>
          <w:p w14:paraId="02061A21" w14:textId="3FD0DE14" w:rsidR="00EC4B06" w:rsidRPr="009E5A05" w:rsidRDefault="00EC4B06" w:rsidP="009E5A05">
            <w:pPr>
              <w:pStyle w:val="Boldstatement"/>
            </w:pPr>
            <w:r>
              <w:t>Professional k</w:t>
            </w:r>
            <w:r w:rsidRPr="00996239">
              <w:t>nowledge</w:t>
            </w:r>
            <w:r>
              <w:t xml:space="preserve"> </w:t>
            </w:r>
          </w:p>
        </w:tc>
      </w:tr>
      <w:tr w:rsidR="00C35465" w:rsidRPr="00003257" w14:paraId="4FEC6FE9" w14:textId="77777777" w:rsidTr="00C35465">
        <w:tc>
          <w:tcPr>
            <w:tcW w:w="5000" w:type="pct"/>
            <w:shd w:val="clear" w:color="auto" w:fill="E7E6E6"/>
            <w:tcMar>
              <w:top w:w="57" w:type="dxa"/>
              <w:bottom w:w="57" w:type="dxa"/>
            </w:tcMar>
          </w:tcPr>
          <w:p w14:paraId="0F69263B" w14:textId="0A3F8AF0" w:rsidR="00C35465" w:rsidRPr="0087609D" w:rsidRDefault="00EC4B06" w:rsidP="00A71259">
            <w:pPr>
              <w:tabs>
                <w:tab w:val="left" w:pos="1926"/>
              </w:tabs>
              <w:spacing w:before="20" w:after="20"/>
            </w:pPr>
            <w:r>
              <w:rPr>
                <w:color w:val="262626" w:themeColor="text1" w:themeTint="D9"/>
              </w:rPr>
              <w:t>Taught content to include</w:t>
            </w:r>
            <w:r w:rsidR="009D74F3">
              <w:rPr>
                <w:color w:val="262626" w:themeColor="text1" w:themeTint="D9"/>
              </w:rPr>
              <w:t>:</w:t>
            </w:r>
          </w:p>
        </w:tc>
      </w:tr>
      <w:tr w:rsidR="007E0133" w14:paraId="0CD20385" w14:textId="77777777" w:rsidTr="007E0133">
        <w:tc>
          <w:tcPr>
            <w:tcW w:w="5000" w:type="pct"/>
            <w:tcMar>
              <w:top w:w="57" w:type="dxa"/>
              <w:bottom w:w="57" w:type="dxa"/>
            </w:tcMar>
          </w:tcPr>
          <w:p w14:paraId="4C2EED01" w14:textId="50776F70" w:rsidR="007E0133" w:rsidRPr="00274B2A" w:rsidRDefault="007E0133" w:rsidP="00056ADD">
            <w:pPr>
              <w:rPr>
                <w:b/>
                <w:color w:val="702F8A"/>
              </w:rPr>
            </w:pPr>
            <w:r w:rsidRPr="00274B2A">
              <w:rPr>
                <w:b/>
                <w:color w:val="702F8A"/>
              </w:rPr>
              <w:t>1.1.</w:t>
            </w:r>
            <w:r>
              <w:rPr>
                <w:b/>
                <w:color w:val="702F8A"/>
              </w:rPr>
              <w:t xml:space="preserve"> History</w:t>
            </w:r>
          </w:p>
          <w:p w14:paraId="7980D71B" w14:textId="77777777" w:rsidR="00000A3E" w:rsidRDefault="00684400" w:rsidP="00A06A31">
            <w:pPr>
              <w:pStyle w:val="Bullet"/>
            </w:pPr>
            <w:r w:rsidRPr="00A06A31">
              <w:t>For example,</w:t>
            </w:r>
            <w:r w:rsidR="007E0133" w:rsidRPr="00A06A31">
              <w:t xml:space="preserve"> a wide range of diverse applications for dermatological and surgical conditions. </w:t>
            </w:r>
            <w:r w:rsidR="00A06A31" w:rsidRPr="005A35E5">
              <w:rPr>
                <w:rFonts w:ascii="Calibri" w:hAnsi="Calibri" w:cs="Calibri"/>
              </w:rPr>
              <w:t>Historical timeline and research of botulinum toxin as a poison to its present-day therapeutic and cosmetic use. Discovery of Bacterium Clostridium Botulinum. The Sausage Poison Theory.  Sc</w:t>
            </w:r>
            <w:r w:rsidR="005A35E5">
              <w:rPr>
                <w:rFonts w:ascii="Calibri" w:hAnsi="Calibri" w:cs="Calibri"/>
              </w:rPr>
              <w:t>ott's role in the discovery of b</w:t>
            </w:r>
            <w:r w:rsidR="00A06A31" w:rsidRPr="005A35E5">
              <w:rPr>
                <w:rFonts w:ascii="Calibri" w:hAnsi="Calibri" w:cs="Calibri"/>
              </w:rPr>
              <w:t>o</w:t>
            </w:r>
            <w:r w:rsidR="005A35E5">
              <w:rPr>
                <w:rFonts w:ascii="Calibri" w:hAnsi="Calibri" w:cs="Calibri"/>
              </w:rPr>
              <w:t xml:space="preserve">tulinum toxin </w:t>
            </w:r>
            <w:r w:rsidR="00A06A31" w:rsidRPr="005A35E5">
              <w:rPr>
                <w:rFonts w:ascii="Calibri" w:hAnsi="Calibri" w:cs="Calibri"/>
              </w:rPr>
              <w:t xml:space="preserve">A for therapeutic use. Jean Carruthers role in the discovery of </w:t>
            </w:r>
            <w:r w:rsidR="005A35E5">
              <w:rPr>
                <w:rFonts w:ascii="Calibri" w:hAnsi="Calibri" w:cs="Calibri"/>
              </w:rPr>
              <w:t>b</w:t>
            </w:r>
            <w:r w:rsidR="005A35E5" w:rsidRPr="005A35E5">
              <w:rPr>
                <w:rFonts w:ascii="Calibri" w:hAnsi="Calibri" w:cs="Calibri"/>
              </w:rPr>
              <w:t>o</w:t>
            </w:r>
            <w:r w:rsidR="005A35E5">
              <w:rPr>
                <w:rFonts w:ascii="Calibri" w:hAnsi="Calibri" w:cs="Calibri"/>
              </w:rPr>
              <w:t xml:space="preserve">tulinum toxin </w:t>
            </w:r>
            <w:r w:rsidR="005A35E5" w:rsidRPr="005A35E5">
              <w:rPr>
                <w:rFonts w:ascii="Calibri" w:hAnsi="Calibri" w:cs="Calibri"/>
              </w:rPr>
              <w:t xml:space="preserve">A </w:t>
            </w:r>
            <w:r w:rsidR="00A06A31" w:rsidRPr="005A35E5">
              <w:rPr>
                <w:rFonts w:ascii="Calibri" w:hAnsi="Calibri" w:cs="Calibri"/>
              </w:rPr>
              <w:t>for aesthetic purposes, First FDA licensed use for</w:t>
            </w:r>
            <w:r w:rsidR="005A35E5">
              <w:rPr>
                <w:rFonts w:ascii="Calibri" w:hAnsi="Calibri" w:cs="Calibri"/>
              </w:rPr>
              <w:t xml:space="preserve"> b</w:t>
            </w:r>
            <w:r w:rsidR="005A35E5" w:rsidRPr="005A35E5">
              <w:rPr>
                <w:rFonts w:ascii="Calibri" w:hAnsi="Calibri" w:cs="Calibri"/>
              </w:rPr>
              <w:t>o</w:t>
            </w:r>
            <w:r w:rsidR="005A35E5">
              <w:rPr>
                <w:rFonts w:ascii="Calibri" w:hAnsi="Calibri" w:cs="Calibri"/>
              </w:rPr>
              <w:t xml:space="preserve">tulinum toxin </w:t>
            </w:r>
            <w:r w:rsidR="005A35E5" w:rsidRPr="005A35E5">
              <w:rPr>
                <w:rFonts w:ascii="Calibri" w:hAnsi="Calibri" w:cs="Calibri"/>
              </w:rPr>
              <w:t>A</w:t>
            </w:r>
            <w:r w:rsidR="00A06A31" w:rsidRPr="005A35E5">
              <w:rPr>
                <w:rFonts w:ascii="Calibri" w:hAnsi="Calibri" w:cs="Calibri"/>
              </w:rPr>
              <w:t xml:space="preserve"> in aesthetic practice.  </w:t>
            </w:r>
            <w:proofErr w:type="spellStart"/>
            <w:r w:rsidR="007E0133" w:rsidRPr="005A35E5">
              <w:t>Dr.</w:t>
            </w:r>
            <w:proofErr w:type="spellEnd"/>
            <w:r w:rsidR="007E0133" w:rsidRPr="005A35E5">
              <w:t xml:space="preserve"> J.J. Legrand, the French endocrinologist</w:t>
            </w:r>
            <w:r w:rsidR="00A06A31" w:rsidRPr="005A35E5">
              <w:t xml:space="preserve">. </w:t>
            </w:r>
          </w:p>
          <w:p w14:paraId="6574E4B9" w14:textId="4A237CD2" w:rsidR="00000A3E" w:rsidRPr="00000A3E" w:rsidRDefault="00000A3E" w:rsidP="00A06A31">
            <w:pPr>
              <w:pStyle w:val="Bullet"/>
            </w:pPr>
            <w:r>
              <w:rPr>
                <w:rFonts w:ascii="Calibri" w:hAnsi="Calibri" w:cs="Calibri"/>
              </w:rPr>
              <w:t>History of dermal fillers, use of bovine collagen. FDA approval for hyaluronic acid. The development of semi-synthetic options.</w:t>
            </w:r>
          </w:p>
          <w:p w14:paraId="47BC6380" w14:textId="727AA0BA" w:rsidR="007E0133" w:rsidRPr="00A06A31" w:rsidRDefault="007E0133" w:rsidP="00A06A31">
            <w:pPr>
              <w:pStyle w:val="Bullet"/>
            </w:pPr>
            <w:r w:rsidRPr="005A35E5">
              <w:t xml:space="preserve">Formation of Unión Internationale de </w:t>
            </w:r>
            <w:proofErr w:type="spellStart"/>
            <w:r w:rsidRPr="005A35E5">
              <w:t>Medecine</w:t>
            </w:r>
            <w:proofErr w:type="spellEnd"/>
            <w:r w:rsidRPr="005A35E5">
              <w:t xml:space="preserve"> </w:t>
            </w:r>
            <w:proofErr w:type="spellStart"/>
            <w:r w:rsidRPr="005A35E5">
              <w:t>Esthetique</w:t>
            </w:r>
            <w:proofErr w:type="spellEnd"/>
            <w:r w:rsidRPr="005A35E5">
              <w:t xml:space="preserve"> (UIME) in 1975.</w:t>
            </w:r>
            <w:r w:rsidRPr="00A06A31">
              <w:t xml:space="preserve"> Explosion in consumer demand</w:t>
            </w:r>
          </w:p>
          <w:p w14:paraId="214204A9" w14:textId="5DA82A5B" w:rsidR="007E0133" w:rsidRDefault="00A94E23" w:rsidP="00A94E23">
            <w:pPr>
              <w:tabs>
                <w:tab w:val="left" w:pos="6490"/>
              </w:tabs>
            </w:pPr>
            <w:r>
              <w:tab/>
            </w:r>
          </w:p>
          <w:p w14:paraId="6F782050" w14:textId="196B99F3" w:rsidR="007E0133" w:rsidRPr="00274B2A" w:rsidRDefault="007E0133" w:rsidP="00056ADD">
            <w:pPr>
              <w:rPr>
                <w:b/>
                <w:color w:val="702F8A"/>
              </w:rPr>
            </w:pPr>
            <w:r w:rsidRPr="00274B2A">
              <w:rPr>
                <w:b/>
                <w:color w:val="702F8A"/>
              </w:rPr>
              <w:t>1.2. Industry</w:t>
            </w:r>
            <w:r>
              <w:rPr>
                <w:b/>
                <w:color w:val="702F8A"/>
              </w:rPr>
              <w:t xml:space="preserve"> economics and projected growth</w:t>
            </w:r>
            <w:r w:rsidRPr="00274B2A">
              <w:rPr>
                <w:b/>
                <w:color w:val="702F8A"/>
              </w:rPr>
              <w:t xml:space="preserve"> </w:t>
            </w:r>
          </w:p>
          <w:p w14:paraId="5AB7BC72" w14:textId="00FC7A13" w:rsidR="007E0133" w:rsidRDefault="00684400" w:rsidP="00274B2A">
            <w:pPr>
              <w:pStyle w:val="Bullet"/>
            </w:pPr>
            <w:r>
              <w:t>For example,</w:t>
            </w:r>
            <w:r w:rsidR="009D74F3">
              <w:t xml:space="preserve"> s</w:t>
            </w:r>
            <w:r w:rsidR="007E0133">
              <w:t>ector growth and worth, impact of celebrity influencers, peer and manufacturer influences, demand by country/consumers, factors for and against the use of aesthetic medicine and how they influence in future growth</w:t>
            </w:r>
          </w:p>
        </w:tc>
      </w:tr>
    </w:tbl>
    <w:p w14:paraId="5F09317D" w14:textId="77777777" w:rsidR="00C35465" w:rsidRDefault="00C35465" w:rsidP="002C5C77">
      <w:pPr>
        <w:pStyle w:val="Bullet2"/>
        <w:numPr>
          <w:ilvl w:val="0"/>
          <w:numId w:val="0"/>
        </w:numPr>
        <w:rPr>
          <w:highlight w:val="yellow"/>
        </w:rPr>
      </w:pPr>
    </w:p>
    <w:p w14:paraId="7EBC7C05" w14:textId="77777777" w:rsidR="00C35465" w:rsidRDefault="00C35465">
      <w:pPr>
        <w:spacing w:line="259" w:lineRule="auto"/>
        <w:rPr>
          <w:highlight w:val="yellow"/>
        </w:rPr>
      </w:pPr>
      <w:r>
        <w:rPr>
          <w:highlight w:val="yellow"/>
        </w:rPr>
        <w:br w:type="page"/>
      </w:r>
    </w:p>
    <w:p w14:paraId="28A53BAA" w14:textId="58231316" w:rsidR="00C35465" w:rsidRPr="00274B2A" w:rsidRDefault="00C35465" w:rsidP="00360464">
      <w:pPr>
        <w:pStyle w:val="Heading2"/>
      </w:pPr>
      <w:r w:rsidRPr="00360464">
        <w:lastRenderedPageBreak/>
        <w:t xml:space="preserve">LO2 </w:t>
      </w:r>
      <w:r w:rsidR="002A0F14">
        <w:rPr>
          <w:color w:val="7030A0"/>
        </w:rPr>
        <w:t xml:space="preserve">Appraise the impact </w:t>
      </w:r>
      <w:r w:rsidR="00360464" w:rsidRPr="00360464">
        <w:t xml:space="preserve">of </w:t>
      </w:r>
      <w:r w:rsidR="00296BFE">
        <w:t xml:space="preserve">regulation and </w:t>
      </w:r>
      <w:r w:rsidR="00360464" w:rsidRPr="00360464">
        <w:t xml:space="preserve">the role of the regulators within </w:t>
      </w:r>
      <w:r w:rsidR="00832B66">
        <w:t xml:space="preserve">the </w:t>
      </w:r>
      <w:r w:rsidR="00360464" w:rsidRPr="00360464">
        <w:t xml:space="preserve">context of aesthetic </w:t>
      </w:r>
      <w:proofErr w:type="gramStart"/>
      <w:r w:rsidR="0067280A">
        <w:t>practice</w:t>
      </w:r>
      <w:proofErr w:type="gramEnd"/>
      <w:r w:rsidR="00360464" w:rsidRPr="00360464">
        <w:t xml:space="preserve"> </w:t>
      </w:r>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16"/>
      </w:tblGrid>
      <w:tr w:rsidR="00EC4B06" w:rsidRPr="007F0350" w14:paraId="616C7279" w14:textId="77777777" w:rsidTr="00EC4B06">
        <w:tc>
          <w:tcPr>
            <w:tcW w:w="5000" w:type="pct"/>
            <w:shd w:val="clear" w:color="auto" w:fill="EFDFF5"/>
            <w:tcMar>
              <w:top w:w="57" w:type="dxa"/>
              <w:bottom w:w="57" w:type="dxa"/>
            </w:tcMar>
            <w:vAlign w:val="center"/>
          </w:tcPr>
          <w:p w14:paraId="10567FAB" w14:textId="1A52AA87" w:rsidR="00EC4B06" w:rsidRPr="009E5A05" w:rsidRDefault="00EC4B06" w:rsidP="00996239">
            <w:pPr>
              <w:pStyle w:val="Boldstatement"/>
            </w:pPr>
            <w:r>
              <w:t>Professional k</w:t>
            </w:r>
            <w:r w:rsidRPr="00996239">
              <w:t>nowledge</w:t>
            </w:r>
            <w:r>
              <w:t xml:space="preserve"> </w:t>
            </w:r>
          </w:p>
        </w:tc>
      </w:tr>
      <w:tr w:rsidR="00996239" w:rsidRPr="00003257" w14:paraId="2F92E005" w14:textId="77777777" w:rsidTr="0023654A">
        <w:tc>
          <w:tcPr>
            <w:tcW w:w="5000" w:type="pct"/>
            <w:shd w:val="clear" w:color="auto" w:fill="E7E6E6"/>
            <w:tcMar>
              <w:top w:w="57" w:type="dxa"/>
              <w:bottom w:w="57" w:type="dxa"/>
            </w:tcMar>
          </w:tcPr>
          <w:p w14:paraId="1870845F" w14:textId="345A60C7" w:rsidR="00996239" w:rsidRPr="0087609D" w:rsidRDefault="00EC4B06" w:rsidP="00996239">
            <w:pPr>
              <w:tabs>
                <w:tab w:val="left" w:pos="1926"/>
              </w:tabs>
              <w:spacing w:before="20" w:after="20"/>
            </w:pPr>
            <w:r>
              <w:rPr>
                <w:color w:val="262626" w:themeColor="text1" w:themeTint="D9"/>
              </w:rPr>
              <w:t>Taught content to include</w:t>
            </w:r>
            <w:r w:rsidR="009D74F3">
              <w:rPr>
                <w:color w:val="262626" w:themeColor="text1" w:themeTint="D9"/>
              </w:rPr>
              <w:t>:</w:t>
            </w:r>
          </w:p>
        </w:tc>
      </w:tr>
      <w:tr w:rsidR="00EC4B06" w14:paraId="1BC0E6C3" w14:textId="77777777" w:rsidTr="00EC4B06">
        <w:tc>
          <w:tcPr>
            <w:tcW w:w="5000" w:type="pct"/>
            <w:tcMar>
              <w:top w:w="57" w:type="dxa"/>
              <w:bottom w:w="57" w:type="dxa"/>
            </w:tcMar>
          </w:tcPr>
          <w:p w14:paraId="7D90F82F" w14:textId="57D6C3F4" w:rsidR="00EC4B06" w:rsidRPr="00D54924" w:rsidRDefault="001C4B4B" w:rsidP="00274B2A">
            <w:r>
              <w:rPr>
                <w:b/>
                <w:color w:val="702F8A"/>
              </w:rPr>
              <w:t>2.1</w:t>
            </w:r>
            <w:r w:rsidR="00EC4B06" w:rsidRPr="00274B2A">
              <w:rPr>
                <w:b/>
                <w:color w:val="702F8A"/>
              </w:rPr>
              <w:t>. Regulatory authorities in the UK</w:t>
            </w:r>
            <w:r w:rsidR="00EC4B06">
              <w:rPr>
                <w:b/>
                <w:color w:val="702F8A"/>
              </w:rPr>
              <w:br/>
            </w:r>
            <w:r w:rsidR="00EC4B06" w:rsidRPr="0072764C">
              <w:t xml:space="preserve">(or </w:t>
            </w:r>
            <w:r w:rsidR="00EC4B06" w:rsidRPr="0072764C">
              <w:rPr>
                <w:rFonts w:eastAsia="Times New Roman"/>
              </w:rPr>
              <w:t>equivalen</w:t>
            </w:r>
            <w:r w:rsidR="00EC4B06">
              <w:rPr>
                <w:rFonts w:eastAsia="Times New Roman"/>
              </w:rPr>
              <w:t xml:space="preserve">t national competent authority for the country </w:t>
            </w:r>
            <w:r w:rsidR="00775261">
              <w:rPr>
                <w:rFonts w:eastAsia="Times New Roman"/>
              </w:rPr>
              <w:t xml:space="preserve">in which </w:t>
            </w:r>
            <w:r w:rsidR="00EC4B06">
              <w:rPr>
                <w:rFonts w:eastAsia="Times New Roman"/>
              </w:rPr>
              <w:t>the qual</w:t>
            </w:r>
            <w:r w:rsidR="00775261">
              <w:rPr>
                <w:rFonts w:eastAsia="Times New Roman"/>
              </w:rPr>
              <w:t>ification is being delivered</w:t>
            </w:r>
            <w:r w:rsidR="00EC4B06">
              <w:rPr>
                <w:rFonts w:eastAsia="Times New Roman"/>
              </w:rPr>
              <w:t xml:space="preserve">) </w:t>
            </w:r>
            <w:r w:rsidR="009D74F3">
              <w:t>for example:</w:t>
            </w:r>
          </w:p>
          <w:p w14:paraId="3D8E13C4" w14:textId="4CA9CAF8" w:rsidR="00EC4B06" w:rsidRPr="0072764C" w:rsidRDefault="00EC4B06" w:rsidP="00274B2A">
            <w:pPr>
              <w:pStyle w:val="Bullet"/>
            </w:pPr>
            <w:r w:rsidRPr="0072764C">
              <w:t xml:space="preserve">Role of General Medical Council </w:t>
            </w:r>
            <w:r>
              <w:t>–</w:t>
            </w:r>
            <w:r w:rsidRPr="0072764C">
              <w:t xml:space="preserve"> GMC </w:t>
            </w:r>
          </w:p>
          <w:p w14:paraId="0E99273D" w14:textId="6EBBC6BD" w:rsidR="00EC4B06" w:rsidRPr="0072764C" w:rsidRDefault="00EC4B06" w:rsidP="00274B2A">
            <w:pPr>
              <w:pStyle w:val="Bullet"/>
            </w:pPr>
            <w:r w:rsidRPr="0072764C">
              <w:t xml:space="preserve">Role of General Dental Council </w:t>
            </w:r>
            <w:r>
              <w:t>–</w:t>
            </w:r>
            <w:r w:rsidRPr="0072764C">
              <w:t xml:space="preserve"> GDC</w:t>
            </w:r>
          </w:p>
          <w:p w14:paraId="24830B41" w14:textId="77777777" w:rsidR="00EC4B06" w:rsidRDefault="00EC4B06" w:rsidP="00274B2A">
            <w:pPr>
              <w:pStyle w:val="Bullet"/>
            </w:pPr>
            <w:r>
              <w:t xml:space="preserve">Role of General Pharmaceutical Council – </w:t>
            </w:r>
            <w:proofErr w:type="spellStart"/>
            <w:r>
              <w:t>GPhC</w:t>
            </w:r>
            <w:proofErr w:type="spellEnd"/>
          </w:p>
          <w:p w14:paraId="52538A03" w14:textId="0165A611" w:rsidR="00EC4B06" w:rsidRDefault="00EC4B06" w:rsidP="00274B2A">
            <w:pPr>
              <w:pStyle w:val="Bullet"/>
            </w:pPr>
            <w:r>
              <w:t>Pharmaceutical Society of Northern Ireland – PSNI</w:t>
            </w:r>
          </w:p>
          <w:p w14:paraId="69E28747" w14:textId="64CA7819" w:rsidR="00EC4B06" w:rsidRDefault="00EC4B06" w:rsidP="00274B2A">
            <w:pPr>
              <w:pStyle w:val="Bullet"/>
            </w:pPr>
            <w:r>
              <w:t xml:space="preserve">Role of Nursing and Midwifery Council – NMC </w:t>
            </w:r>
          </w:p>
          <w:p w14:paraId="326CA81A" w14:textId="37A3F5E5" w:rsidR="00EC4B06" w:rsidRPr="00303D13" w:rsidRDefault="00EC4B06" w:rsidP="00274B2A">
            <w:pPr>
              <w:pStyle w:val="Bullet"/>
            </w:pPr>
            <w:r w:rsidRPr="00303D13">
              <w:t xml:space="preserve">Role of Health and Care Professions Council </w:t>
            </w:r>
            <w:r>
              <w:t>–</w:t>
            </w:r>
            <w:r w:rsidRPr="00303D13">
              <w:t xml:space="preserve"> HCPC</w:t>
            </w:r>
          </w:p>
          <w:p w14:paraId="0D79CA36" w14:textId="6FDA711F" w:rsidR="00EC4B06" w:rsidRPr="00FB09D4" w:rsidRDefault="00EC4B06" w:rsidP="00274B2A">
            <w:pPr>
              <w:pStyle w:val="Bullet"/>
            </w:pPr>
            <w:r w:rsidRPr="00303D13">
              <w:t xml:space="preserve">Role of the Professional Standards Authority </w:t>
            </w:r>
            <w:r>
              <w:t>–</w:t>
            </w:r>
            <w:r w:rsidRPr="00303D13">
              <w:t xml:space="preserve"> PSA</w:t>
            </w:r>
          </w:p>
          <w:p w14:paraId="144F2827" w14:textId="77777777" w:rsidR="00EC4B06" w:rsidRDefault="00EC4B06" w:rsidP="00274B2A">
            <w:pPr>
              <w:pStyle w:val="Bullet"/>
            </w:pPr>
            <w:r w:rsidRPr="00BA1BF9">
              <w:t xml:space="preserve">The role of the Medicines and Healthcare products Regulatory Agency </w:t>
            </w:r>
            <w:r>
              <w:t>–</w:t>
            </w:r>
            <w:r w:rsidRPr="00BA1BF9">
              <w:t xml:space="preserve"> MHRA</w:t>
            </w:r>
            <w:r>
              <w:t xml:space="preserve"> </w:t>
            </w:r>
          </w:p>
          <w:p w14:paraId="3BC40BED" w14:textId="77777777" w:rsidR="00EC4B06" w:rsidRDefault="00EC4B06" w:rsidP="00274B2A">
            <w:pPr>
              <w:pStyle w:val="Bullet"/>
            </w:pPr>
            <w:r>
              <w:t>Advertising Standards Authority ASA</w:t>
            </w:r>
          </w:p>
          <w:p w14:paraId="6B0A5FEE" w14:textId="77777777" w:rsidR="00EC4B06" w:rsidRDefault="00EC4B06" w:rsidP="00274B2A">
            <w:pPr>
              <w:pStyle w:val="Bullet"/>
            </w:pPr>
            <w:r>
              <w:t>Care Quality Commission CQC</w:t>
            </w:r>
          </w:p>
          <w:p w14:paraId="33188BF4" w14:textId="4FBDE189" w:rsidR="00EC4B06" w:rsidRDefault="00EC4B06" w:rsidP="00274B2A">
            <w:pPr>
              <w:pStyle w:val="Bullet"/>
            </w:pPr>
            <w:r>
              <w:t>WIH (Wales)</w:t>
            </w:r>
          </w:p>
          <w:p w14:paraId="42823310" w14:textId="19E5BBCC" w:rsidR="00EC4B06" w:rsidRDefault="00EC4B06" w:rsidP="00274B2A">
            <w:pPr>
              <w:pStyle w:val="Bullet"/>
            </w:pPr>
            <w:r>
              <w:t>HIS (Scotland)</w:t>
            </w:r>
          </w:p>
          <w:p w14:paraId="6FDB27BE" w14:textId="77777777" w:rsidR="001C4B4B" w:rsidRDefault="001C4B4B" w:rsidP="001C4B4B">
            <w:pPr>
              <w:pStyle w:val="Bullet"/>
              <w:numPr>
                <w:ilvl w:val="0"/>
                <w:numId w:val="0"/>
              </w:numPr>
              <w:rPr>
                <w:b/>
              </w:rPr>
            </w:pPr>
          </w:p>
          <w:p w14:paraId="0CE95E81" w14:textId="77777777" w:rsidR="001C4B4B" w:rsidRPr="00274B2A" w:rsidRDefault="001C4B4B" w:rsidP="001C4B4B">
            <w:pPr>
              <w:pStyle w:val="Bullet"/>
              <w:numPr>
                <w:ilvl w:val="0"/>
                <w:numId w:val="0"/>
              </w:numPr>
            </w:pPr>
            <w:r w:rsidRPr="00274B2A">
              <w:rPr>
                <w:b/>
              </w:rPr>
              <w:t>Professional Statutory Regulatory Body (PSRB)</w:t>
            </w:r>
            <w:r w:rsidRPr="00274B2A">
              <w:t xml:space="preserve"> – </w:t>
            </w:r>
            <w:r>
              <w:t>for example,</w:t>
            </w:r>
            <w:r w:rsidRPr="00274B2A">
              <w:t xml:space="preserve"> Authority over practitioners, publication of practitioner legislation, code of conduct and professional guidance, consultation and collaboration with Department for Health </w:t>
            </w:r>
            <w:proofErr w:type="gramStart"/>
            <w:r w:rsidRPr="00274B2A">
              <w:t>And</w:t>
            </w:r>
            <w:proofErr w:type="gramEnd"/>
            <w:r w:rsidRPr="00274B2A">
              <w:t xml:space="preserve"> Social Care</w:t>
            </w:r>
          </w:p>
          <w:p w14:paraId="6956C9EF" w14:textId="506B9333" w:rsidR="00EC4B06" w:rsidRDefault="00EC4B06" w:rsidP="00274B2A"/>
          <w:p w14:paraId="5B2976FF" w14:textId="558CF009" w:rsidR="00EC4B06" w:rsidRPr="00274B2A" w:rsidRDefault="001C4B4B" w:rsidP="00274B2A">
            <w:pPr>
              <w:rPr>
                <w:b/>
                <w:color w:val="702F8A"/>
              </w:rPr>
            </w:pPr>
            <w:r>
              <w:rPr>
                <w:b/>
                <w:color w:val="702F8A"/>
              </w:rPr>
              <w:t>2.2</w:t>
            </w:r>
            <w:r w:rsidR="00EC4B06" w:rsidRPr="00274B2A">
              <w:rPr>
                <w:b/>
                <w:color w:val="702F8A"/>
              </w:rPr>
              <w:t xml:space="preserve">. Regulatory requirements  </w:t>
            </w:r>
          </w:p>
          <w:p w14:paraId="60C6FF55" w14:textId="77777777" w:rsidR="00EC4B06" w:rsidRPr="004133D8" w:rsidRDefault="00EC4B06" w:rsidP="00274B2A">
            <w:pPr>
              <w:pStyle w:val="Bullet"/>
            </w:pPr>
            <w:r w:rsidRPr="004133D8">
              <w:t xml:space="preserve">Medical training </w:t>
            </w:r>
          </w:p>
          <w:p w14:paraId="4D3E52E5" w14:textId="77777777" w:rsidR="00EC4B06" w:rsidRPr="004133D8" w:rsidRDefault="00EC4B06" w:rsidP="00274B2A">
            <w:pPr>
              <w:pStyle w:val="Bullet"/>
            </w:pPr>
            <w:r w:rsidRPr="004133D8">
              <w:t>Enhanced Disclosure and Barring Service check</w:t>
            </w:r>
          </w:p>
          <w:p w14:paraId="6AFEEE0F" w14:textId="77777777" w:rsidR="00EC4B06" w:rsidRDefault="00EC4B06" w:rsidP="00274B2A">
            <w:pPr>
              <w:pStyle w:val="Bullet"/>
            </w:pPr>
            <w:r w:rsidRPr="004133D8">
              <w:t>Membership of a regulatory body and compliance with published standards of professional practice</w:t>
            </w:r>
          </w:p>
          <w:p w14:paraId="01CE266E" w14:textId="17CBEEF7" w:rsidR="00EC4B06" w:rsidRPr="004133D8" w:rsidRDefault="00EC4B06" w:rsidP="00274B2A">
            <w:pPr>
              <w:pStyle w:val="Bullet"/>
            </w:pPr>
            <w:r>
              <w:t xml:space="preserve">CPD requirements </w:t>
            </w:r>
          </w:p>
          <w:p w14:paraId="50FFB19B" w14:textId="35DB3EA7" w:rsidR="00EC4B06" w:rsidRPr="004133D8" w:rsidRDefault="00775261" w:rsidP="00274B2A">
            <w:pPr>
              <w:pStyle w:val="Bullet"/>
            </w:pPr>
            <w:r>
              <w:t>Licence to practis</w:t>
            </w:r>
            <w:r w:rsidR="00EC4B06" w:rsidRPr="004133D8">
              <w:t>e</w:t>
            </w:r>
          </w:p>
          <w:p w14:paraId="7C4D6065" w14:textId="77777777" w:rsidR="00EC4B06" w:rsidRPr="004133D8" w:rsidRDefault="00EC4B06" w:rsidP="00274B2A">
            <w:pPr>
              <w:pStyle w:val="Bullet"/>
            </w:pPr>
            <w:r w:rsidRPr="004133D8">
              <w:t>Regulated qualifications</w:t>
            </w:r>
          </w:p>
          <w:p w14:paraId="418DC026" w14:textId="5E8A8B65" w:rsidR="00EC4B06" w:rsidRDefault="00EC4B06" w:rsidP="00274B2A">
            <w:pPr>
              <w:pStyle w:val="Bullet"/>
            </w:pPr>
            <w:r w:rsidRPr="004133D8">
              <w:t>Insurance</w:t>
            </w:r>
            <w:r>
              <w:t>/indemnity</w:t>
            </w:r>
          </w:p>
          <w:p w14:paraId="080F2FB1" w14:textId="59265A17" w:rsidR="00EC4B06" w:rsidRDefault="00EC4B06" w:rsidP="00274B2A"/>
          <w:p w14:paraId="58E0B13C" w14:textId="5333DFE3" w:rsidR="00EC4B06" w:rsidRPr="00274B2A" w:rsidRDefault="001C4B4B" w:rsidP="00274B2A">
            <w:pPr>
              <w:rPr>
                <w:b/>
                <w:color w:val="702F8A"/>
              </w:rPr>
            </w:pPr>
            <w:r>
              <w:rPr>
                <w:b/>
                <w:color w:val="702F8A"/>
              </w:rPr>
              <w:t>2.3</w:t>
            </w:r>
            <w:r w:rsidR="00EC4B06" w:rsidRPr="00274B2A">
              <w:rPr>
                <w:b/>
                <w:color w:val="702F8A"/>
              </w:rPr>
              <w:t xml:space="preserve">. Voluntary registration  </w:t>
            </w:r>
          </w:p>
          <w:p w14:paraId="49A54116" w14:textId="137C13F0" w:rsidR="00EC4B06" w:rsidRPr="00612046" w:rsidRDefault="00EC4B06" w:rsidP="00274B2A">
            <w:pPr>
              <w:pStyle w:val="Bullet"/>
            </w:pPr>
            <w:r>
              <w:t>R</w:t>
            </w:r>
            <w:r w:rsidRPr="00B340FE">
              <w:t>equirements for voluntary regulation with for example</w:t>
            </w:r>
            <w:r>
              <w:t>,</w:t>
            </w:r>
            <w:r w:rsidRPr="00B340FE">
              <w:t xml:space="preserve"> J</w:t>
            </w:r>
            <w:r>
              <w:t xml:space="preserve">oint </w:t>
            </w:r>
            <w:r w:rsidRPr="00B340FE">
              <w:t>C</w:t>
            </w:r>
            <w:r>
              <w:t xml:space="preserve">ouncil for </w:t>
            </w:r>
            <w:r w:rsidRPr="00B340FE">
              <w:t>C</w:t>
            </w:r>
            <w:r>
              <w:t xml:space="preserve">osmetic </w:t>
            </w:r>
            <w:r w:rsidRPr="00140881">
              <w:t>P</w:t>
            </w:r>
            <w:r>
              <w:t xml:space="preserve">ractitioners (JCCP) </w:t>
            </w:r>
            <w:r w:rsidRPr="00B340FE">
              <w:t xml:space="preserve">membership, Save </w:t>
            </w:r>
            <w:proofErr w:type="gramStart"/>
            <w:r w:rsidRPr="00B340FE">
              <w:t>Face</w:t>
            </w:r>
            <w:proofErr w:type="gramEnd"/>
          </w:p>
          <w:p w14:paraId="63BED423" w14:textId="77777777" w:rsidR="00EC4B06" w:rsidRDefault="00EC4B06" w:rsidP="00274B2A"/>
          <w:p w14:paraId="46FE656A" w14:textId="7175D33D" w:rsidR="00EC4B06" w:rsidRPr="00274B2A" w:rsidRDefault="001C4B4B" w:rsidP="00274B2A">
            <w:pPr>
              <w:rPr>
                <w:b/>
                <w:color w:val="702F8A"/>
              </w:rPr>
            </w:pPr>
            <w:r>
              <w:rPr>
                <w:b/>
                <w:color w:val="702F8A"/>
              </w:rPr>
              <w:t>2.4</w:t>
            </w:r>
            <w:r w:rsidR="00EC4B06" w:rsidRPr="00274B2A">
              <w:rPr>
                <w:b/>
                <w:color w:val="702F8A"/>
              </w:rPr>
              <w:t xml:space="preserve">. Key legislation </w:t>
            </w:r>
          </w:p>
          <w:p w14:paraId="07B767D6" w14:textId="0126422F" w:rsidR="00EC4B06" w:rsidRPr="00B340FE" w:rsidRDefault="00EC4B06" w:rsidP="00274B2A">
            <w:pPr>
              <w:pStyle w:val="Bullet"/>
            </w:pPr>
            <w:r w:rsidRPr="00B340FE">
              <w:t xml:space="preserve">Legislation and controls impacting professional standards and commercial aspects of practice. </w:t>
            </w:r>
            <w:r>
              <w:t>C</w:t>
            </w:r>
            <w:r w:rsidRPr="00B340FE">
              <w:t>onfidentiality and generic legislation relevant to all healthcare professionals</w:t>
            </w:r>
            <w:r>
              <w:t>,</w:t>
            </w:r>
            <w:r w:rsidRPr="00B340FE">
              <w:t xml:space="preserve"> such as: </w:t>
            </w:r>
          </w:p>
          <w:p w14:paraId="6C2382B9" w14:textId="77777777" w:rsidR="00EC4B06" w:rsidRPr="00B340FE" w:rsidRDefault="00EC4B06" w:rsidP="00274B2A">
            <w:pPr>
              <w:pStyle w:val="Bullet2"/>
            </w:pPr>
            <w:r w:rsidRPr="00B340FE">
              <w:t xml:space="preserve">Local government licensing </w:t>
            </w:r>
          </w:p>
          <w:p w14:paraId="295AED1E" w14:textId="77777777" w:rsidR="00EC4B06" w:rsidRPr="00B340FE" w:rsidRDefault="00EC4B06" w:rsidP="00274B2A">
            <w:pPr>
              <w:pStyle w:val="Bullet2"/>
            </w:pPr>
            <w:r w:rsidRPr="00B340FE">
              <w:t>Local Govern</w:t>
            </w:r>
            <w:r w:rsidRPr="001272EF">
              <w:t>ment (Miscellaneous Provisions) Act 1982</w:t>
            </w:r>
          </w:p>
          <w:p w14:paraId="20475FC2" w14:textId="481C4C85" w:rsidR="00EC4B06" w:rsidRPr="00B340FE" w:rsidRDefault="00EC4B06" w:rsidP="00274B2A">
            <w:pPr>
              <w:pStyle w:val="Bullet2"/>
            </w:pPr>
            <w:r w:rsidRPr="00B340FE">
              <w:t>The London Local Authorities Act 1991</w:t>
            </w:r>
          </w:p>
          <w:p w14:paraId="00B065A8" w14:textId="53D5B96F" w:rsidR="00EC4B06" w:rsidRPr="00B87999" w:rsidRDefault="00EC4B06" w:rsidP="00274B2A">
            <w:pPr>
              <w:pStyle w:val="Bullet2"/>
            </w:pPr>
            <w:r>
              <w:t>R</w:t>
            </w:r>
            <w:r w:rsidRPr="00B340FE">
              <w:t xml:space="preserve">egistration with Information Commissioners Office (ICO) </w:t>
            </w:r>
            <w:r>
              <w:t>for guidance on h</w:t>
            </w:r>
            <w:r w:rsidRPr="00B340FE">
              <w:t xml:space="preserve">olding and </w:t>
            </w:r>
            <w:r>
              <w:t xml:space="preserve">protecting personal </w:t>
            </w:r>
            <w:r w:rsidRPr="008B7B15">
              <w:t xml:space="preserve">information </w:t>
            </w:r>
            <w:r w:rsidRPr="008B7B15">
              <w:rPr>
                <w:lang w:val="en"/>
              </w:rPr>
              <w:t>and the General Data Protection Regulation (GDPR)</w:t>
            </w:r>
          </w:p>
          <w:p w14:paraId="4937ADB7" w14:textId="77777777" w:rsidR="00B87999" w:rsidRPr="008B7B15" w:rsidRDefault="00B87999" w:rsidP="00B87999">
            <w:pPr>
              <w:pStyle w:val="Bullet2"/>
              <w:numPr>
                <w:ilvl w:val="0"/>
                <w:numId w:val="0"/>
              </w:numPr>
              <w:ind w:left="1077"/>
            </w:pPr>
          </w:p>
          <w:p w14:paraId="70E181E0" w14:textId="43CA2C33" w:rsidR="00EC4B06" w:rsidRPr="00B340FE" w:rsidRDefault="00EC4B06" w:rsidP="00274B2A">
            <w:pPr>
              <w:pStyle w:val="Bullet"/>
            </w:pPr>
            <w:r w:rsidRPr="00B340FE">
              <w:lastRenderedPageBreak/>
              <w:t>Specific reg</w:t>
            </w:r>
            <w:r w:rsidRPr="001272EF">
              <w:t xml:space="preserve">ulation </w:t>
            </w:r>
          </w:p>
          <w:p w14:paraId="6C72F300" w14:textId="6DFEC1FD" w:rsidR="00EC4B06" w:rsidRDefault="00EC4B06" w:rsidP="009D74F3">
            <w:pPr>
              <w:pStyle w:val="Bullet2"/>
              <w:spacing w:after="0"/>
            </w:pPr>
            <w:r>
              <w:t>For example, p</w:t>
            </w:r>
            <w:r w:rsidRPr="00B340FE">
              <w:t>rescribing legisla</w:t>
            </w:r>
            <w:r w:rsidRPr="009A0702">
              <w:t>tion</w:t>
            </w:r>
            <w:r>
              <w:t>,</w:t>
            </w:r>
            <w:r w:rsidRPr="009A0702">
              <w:t xml:space="preserve"> </w:t>
            </w:r>
            <w:r w:rsidRPr="00B340FE">
              <w:t>Human Medicines Regulations 2012</w:t>
            </w:r>
            <w:r>
              <w:t>, Medical devices regulations (updated</w:t>
            </w:r>
            <w:r w:rsidRPr="00B340FE">
              <w:t xml:space="preserve"> June 2020 </w:t>
            </w:r>
            <w:r>
              <w:t xml:space="preserve">to include </w:t>
            </w:r>
            <w:r w:rsidRPr="00B340FE">
              <w:t>Class 111 medical device</w:t>
            </w:r>
            <w:r>
              <w:t>)</w:t>
            </w:r>
          </w:p>
          <w:p w14:paraId="4D23029D" w14:textId="77777777" w:rsidR="00EC4B06" w:rsidRPr="009D74F3" w:rsidRDefault="00EC4B06" w:rsidP="00274B2A">
            <w:pPr>
              <w:rPr>
                <w:sz w:val="20"/>
              </w:rPr>
            </w:pPr>
          </w:p>
          <w:p w14:paraId="17E51D83" w14:textId="36411494" w:rsidR="00EC4B06" w:rsidRPr="00274B2A" w:rsidRDefault="001C4B4B" w:rsidP="00274B2A">
            <w:pPr>
              <w:rPr>
                <w:b/>
                <w:color w:val="702F8A"/>
              </w:rPr>
            </w:pPr>
            <w:r>
              <w:rPr>
                <w:b/>
                <w:color w:val="702F8A"/>
              </w:rPr>
              <w:t>2.5</w:t>
            </w:r>
            <w:r w:rsidR="00EC4B06" w:rsidRPr="00274B2A">
              <w:rPr>
                <w:b/>
                <w:color w:val="702F8A"/>
              </w:rPr>
              <w:t>. Pharmacovigilance</w:t>
            </w:r>
          </w:p>
          <w:p w14:paraId="4BA9EBB4" w14:textId="380A591A" w:rsidR="00EC4B06" w:rsidRPr="0072764C" w:rsidRDefault="00EC4B06" w:rsidP="00274B2A">
            <w:pPr>
              <w:pStyle w:val="Bullet"/>
            </w:pPr>
            <w:proofErr w:type="gramStart"/>
            <w:r>
              <w:t>M</w:t>
            </w:r>
            <w:r w:rsidRPr="0072764C">
              <w:t>edicines</w:t>
            </w:r>
            <w:proofErr w:type="gramEnd"/>
            <w:r w:rsidRPr="0072764C">
              <w:t xml:space="preserve"> legislation, particularly those unlicensed for cosmetic use or whose use is “off label”, including defensible decision-making drawing upon best evidence and including manufacturer’s instructions on storage, administration and disposal of medicines</w:t>
            </w:r>
          </w:p>
          <w:p w14:paraId="5AADF93E" w14:textId="77777777" w:rsidR="00EC4B06" w:rsidRPr="009D74F3" w:rsidRDefault="00EC4B06" w:rsidP="00274B2A">
            <w:pPr>
              <w:rPr>
                <w:sz w:val="20"/>
              </w:rPr>
            </w:pPr>
          </w:p>
          <w:p w14:paraId="2697CEB3" w14:textId="369F9AB4" w:rsidR="00EC4B06" w:rsidRPr="00274B2A" w:rsidRDefault="001C4B4B" w:rsidP="00274B2A">
            <w:pPr>
              <w:rPr>
                <w:b/>
                <w:color w:val="702F8A"/>
              </w:rPr>
            </w:pPr>
            <w:r>
              <w:rPr>
                <w:b/>
                <w:color w:val="702F8A"/>
              </w:rPr>
              <w:t>2.6</w:t>
            </w:r>
            <w:r w:rsidR="00EC4B06" w:rsidRPr="00274B2A">
              <w:rPr>
                <w:b/>
                <w:color w:val="702F8A"/>
              </w:rPr>
              <w:t xml:space="preserve">. Role of the prescriber </w:t>
            </w:r>
          </w:p>
          <w:p w14:paraId="28E17156" w14:textId="77777777" w:rsidR="00EC4B06" w:rsidRDefault="00EC4B06" w:rsidP="00274B2A">
            <w:pPr>
              <w:pStyle w:val="Bullet"/>
            </w:pPr>
            <w:r>
              <w:t>Familiar with legislative and regulatory requirements</w:t>
            </w:r>
          </w:p>
          <w:p w14:paraId="6BC5AE95" w14:textId="77777777" w:rsidR="00EC4B06" w:rsidRDefault="00EC4B06" w:rsidP="00274B2A">
            <w:pPr>
              <w:pStyle w:val="Bullet"/>
            </w:pPr>
            <w:r>
              <w:t xml:space="preserve">Works within JCCP prescribing guidelines as agreed by statutory </w:t>
            </w:r>
            <w:proofErr w:type="gramStart"/>
            <w:r>
              <w:t>regulators</w:t>
            </w:r>
            <w:proofErr w:type="gramEnd"/>
          </w:p>
          <w:p w14:paraId="7E63B64C" w14:textId="71003154" w:rsidR="00EC4B06" w:rsidRDefault="00EC4B06" w:rsidP="00274B2A">
            <w:pPr>
              <w:pStyle w:val="Bullet"/>
            </w:pPr>
            <w:r>
              <w:t>Royal Pharmaceutical Society (RPS) Prescribing Framework for all. Role of Designated Medical Prescriber (DMP) and Designated Prescribing Practitioner (DPP) New Framework for Prescribing Assessors</w:t>
            </w:r>
          </w:p>
          <w:p w14:paraId="793AB088" w14:textId="3B7099D0" w:rsidR="00EC4B06" w:rsidRDefault="00EC4B06" w:rsidP="00274B2A">
            <w:pPr>
              <w:pStyle w:val="Bullet"/>
            </w:pPr>
            <w:r>
              <w:t>Professional Records Standards Body (PRSB) guidance</w:t>
            </w:r>
          </w:p>
          <w:p w14:paraId="19C768C4" w14:textId="1440138C" w:rsidR="00EC4B06" w:rsidRDefault="00EC4B06" w:rsidP="00274B2A">
            <w:pPr>
              <w:pStyle w:val="Bullet2"/>
            </w:pPr>
            <w:r>
              <w:t>Responsibilities for assessment prior to prescribing</w:t>
            </w:r>
          </w:p>
          <w:p w14:paraId="120AEA91" w14:textId="77777777" w:rsidR="00EC4B06" w:rsidRDefault="00EC4B06" w:rsidP="00274B2A">
            <w:pPr>
              <w:pStyle w:val="Bullet2"/>
            </w:pPr>
            <w:r>
              <w:t xml:space="preserve">Responsibilities for assessment of outcomes and responding to adverse </w:t>
            </w:r>
            <w:proofErr w:type="gramStart"/>
            <w:r>
              <w:t>incidents</w:t>
            </w:r>
            <w:proofErr w:type="gramEnd"/>
          </w:p>
          <w:p w14:paraId="47D57B77" w14:textId="77777777" w:rsidR="00EC4B06" w:rsidRDefault="00EC4B06" w:rsidP="00274B2A">
            <w:pPr>
              <w:pStyle w:val="Bullet2"/>
            </w:pPr>
            <w:r>
              <w:t>Responsibilities when delegating</w:t>
            </w:r>
          </w:p>
          <w:p w14:paraId="63EE664F" w14:textId="77777777" w:rsidR="00EC4B06" w:rsidRDefault="00EC4B06" w:rsidP="00274B2A">
            <w:pPr>
              <w:pStyle w:val="Bullet2"/>
            </w:pPr>
            <w:r>
              <w:t>Requirements for adverse incident reporting (MHRA)</w:t>
            </w:r>
          </w:p>
          <w:p w14:paraId="4BD7DBFC" w14:textId="3656E770" w:rsidR="00EC4B06" w:rsidRDefault="00EC4B06" w:rsidP="00274B2A">
            <w:pPr>
              <w:pStyle w:val="Bullet2"/>
            </w:pPr>
            <w:r>
              <w:t>Ethical considerations when prescrib</w:t>
            </w:r>
            <w:r w:rsidR="009D74F3">
              <w:t xml:space="preserve">ing in a commercial </w:t>
            </w:r>
            <w:proofErr w:type="gramStart"/>
            <w:r w:rsidR="009D74F3">
              <w:t>environment</w:t>
            </w:r>
            <w:proofErr w:type="gramEnd"/>
          </w:p>
          <w:p w14:paraId="0108327E" w14:textId="02E8E890" w:rsidR="00EC4B06" w:rsidRDefault="00EC4B06" w:rsidP="009D74F3">
            <w:pPr>
              <w:pStyle w:val="Bullet2"/>
              <w:spacing w:after="0"/>
            </w:pPr>
            <w:r>
              <w:t>Specific Genera</w:t>
            </w:r>
            <w:r w:rsidR="009D74F3">
              <w:t>l Pharmaceutical Council (</w:t>
            </w:r>
            <w:proofErr w:type="spellStart"/>
            <w:r w:rsidR="009D74F3">
              <w:t>GPhC</w:t>
            </w:r>
            <w:proofErr w:type="spellEnd"/>
            <w:r w:rsidR="009D74F3">
              <w:t>)</w:t>
            </w:r>
            <w:r>
              <w:t xml:space="preserve">, Nursing and Midwifery Council (NMC) and PRSB guidance for prescribing and delegating in aesthetic </w:t>
            </w:r>
            <w:proofErr w:type="gramStart"/>
            <w:r>
              <w:t>practice</w:t>
            </w:r>
            <w:proofErr w:type="gramEnd"/>
          </w:p>
          <w:p w14:paraId="331F32FB" w14:textId="77777777" w:rsidR="00EC4B06" w:rsidRDefault="00EC4B06" w:rsidP="00274B2A">
            <w:r w:rsidRPr="00617D65">
              <w:rPr>
                <w:highlight w:val="cyan"/>
              </w:rPr>
              <w:t xml:space="preserve"> </w:t>
            </w:r>
          </w:p>
          <w:p w14:paraId="76F213AC" w14:textId="7DBF12AD" w:rsidR="00EC4B06" w:rsidRPr="00274B2A" w:rsidRDefault="001C4B4B" w:rsidP="00274B2A">
            <w:pPr>
              <w:rPr>
                <w:b/>
                <w:color w:val="702F8A"/>
              </w:rPr>
            </w:pPr>
            <w:r>
              <w:rPr>
                <w:b/>
                <w:color w:val="702F8A"/>
              </w:rPr>
              <w:t>2.7</w:t>
            </w:r>
            <w:r w:rsidR="00EC4B06" w:rsidRPr="00274B2A">
              <w:rPr>
                <w:b/>
                <w:color w:val="702F8A"/>
              </w:rPr>
              <w:t>. Requirements for products usage</w:t>
            </w:r>
          </w:p>
          <w:p w14:paraId="4EF39841" w14:textId="1B0FE52E" w:rsidR="00EC4B06" w:rsidRDefault="009D74F3" w:rsidP="00274B2A">
            <w:pPr>
              <w:pStyle w:val="Bullet"/>
            </w:pPr>
            <w:r>
              <w:t xml:space="preserve">For example, </w:t>
            </w:r>
            <w:r w:rsidR="00EC4B06">
              <w:t>consequences of using off licence products and the i</w:t>
            </w:r>
            <w:r w:rsidR="00EC4B06" w:rsidRPr="00FB09D4">
              <w:t xml:space="preserve">mplications of malfunctioning </w:t>
            </w:r>
            <w:proofErr w:type="gramStart"/>
            <w:r w:rsidR="00EC4B06" w:rsidRPr="00FB09D4">
              <w:t>products</w:t>
            </w:r>
            <w:proofErr w:type="gramEnd"/>
            <w:r w:rsidR="00EC4B06" w:rsidRPr="00FB09D4">
              <w:t xml:space="preserve"> </w:t>
            </w:r>
          </w:p>
          <w:p w14:paraId="7224E3FB" w14:textId="77777777" w:rsidR="00EC4B06" w:rsidRDefault="00EC4B06" w:rsidP="00274B2A">
            <w:pPr>
              <w:pStyle w:val="Bullet"/>
            </w:pPr>
            <w:r w:rsidRPr="00BA1BF9">
              <w:t xml:space="preserve">Medicines and Healthcare products Regulatory Agency </w:t>
            </w:r>
            <w:r>
              <w:t>–</w:t>
            </w:r>
            <w:r w:rsidRPr="00BA1BF9">
              <w:t xml:space="preserve"> MHRA</w:t>
            </w:r>
          </w:p>
          <w:p w14:paraId="0C4B0361" w14:textId="77777777" w:rsidR="00EC4B06" w:rsidRDefault="00EC4B06" w:rsidP="00274B2A">
            <w:pPr>
              <w:pStyle w:val="Bullet"/>
            </w:pPr>
            <w:r w:rsidRPr="00C031DC">
              <w:t>Medical Device Regulation (EU 2017/745)</w:t>
            </w:r>
          </w:p>
          <w:p w14:paraId="34CD68FF" w14:textId="77777777" w:rsidR="00EC4B06" w:rsidRPr="00B1160F" w:rsidRDefault="00EC4B06" w:rsidP="00274B2A">
            <w:pPr>
              <w:pStyle w:val="Bullet"/>
            </w:pPr>
            <w:r w:rsidRPr="00B1160F">
              <w:t xml:space="preserve">Code for Human Medicines Directive </w:t>
            </w:r>
            <w:r>
              <w:t xml:space="preserve">(EU </w:t>
            </w:r>
            <w:r w:rsidRPr="00B1160F">
              <w:t>2001/83/EC</w:t>
            </w:r>
            <w:r>
              <w:t>)</w:t>
            </w:r>
            <w:r w:rsidRPr="00B1160F">
              <w:t xml:space="preserve"> </w:t>
            </w:r>
          </w:p>
          <w:p w14:paraId="4741C06C" w14:textId="77777777" w:rsidR="00EC4B06" w:rsidRPr="00B1160F" w:rsidRDefault="00EC4B06" w:rsidP="00274B2A">
            <w:pPr>
              <w:pStyle w:val="Bullet"/>
            </w:pPr>
            <w:r w:rsidRPr="00B1160F">
              <w:t xml:space="preserve">European Medicines Agency (EMA </w:t>
            </w:r>
            <w:proofErr w:type="gramStart"/>
            <w:r w:rsidRPr="00B1160F">
              <w:t>Regulation)(</w:t>
            </w:r>
            <w:proofErr w:type="gramEnd"/>
            <w:r w:rsidRPr="00B1160F">
              <w:t>EC 726/2004</w:t>
            </w:r>
            <w:r>
              <w:t>)</w:t>
            </w:r>
            <w:r w:rsidRPr="00B1160F">
              <w:t xml:space="preserve"> </w:t>
            </w:r>
          </w:p>
          <w:p w14:paraId="407FDB82" w14:textId="6E382A1F" w:rsidR="00EC4B06" w:rsidRPr="00B1160F" w:rsidRDefault="00EC4B06" w:rsidP="00274B2A">
            <w:pPr>
              <w:pStyle w:val="Bullet"/>
            </w:pPr>
            <w:r w:rsidRPr="00B1160F">
              <w:t>The Human Medicines Regulations 2012 implement the EU legislation in the UK and contain provisions established independently of EU law and on matters of national competence (such as the su</w:t>
            </w:r>
            <w:r>
              <w:t>pply of unlicensed medicines)</w:t>
            </w:r>
          </w:p>
          <w:p w14:paraId="0414CFC4" w14:textId="0CDDA85C" w:rsidR="00EC4B06" w:rsidRPr="00904310" w:rsidRDefault="00EC4B06" w:rsidP="00274B2A">
            <w:pPr>
              <w:pStyle w:val="Bullet"/>
            </w:pPr>
            <w:r w:rsidRPr="00B1160F">
              <w:t xml:space="preserve">The regulatory pricing regime for medicinal products is contained in the National Health Service Act 2006 and the Health and Social Care Act 2012, </w:t>
            </w:r>
            <w:r w:rsidRPr="00904310">
              <w:t>togeth</w:t>
            </w:r>
            <w:r>
              <w:t xml:space="preserve">er with subordinate </w:t>
            </w:r>
            <w:proofErr w:type="gramStart"/>
            <w:r>
              <w:t>legislation</w:t>
            </w:r>
            <w:proofErr w:type="gramEnd"/>
          </w:p>
          <w:p w14:paraId="2D7334E5" w14:textId="77777777" w:rsidR="00EC4B06" w:rsidRPr="00904310" w:rsidRDefault="00EC4B06" w:rsidP="00274B2A">
            <w:pPr>
              <w:pStyle w:val="Bullet"/>
            </w:pPr>
            <w:r w:rsidRPr="00904310">
              <w:t xml:space="preserve">Sourcing approved devices and products from a responsible, reputable supplier, and medicines from a registered pharmacist </w:t>
            </w:r>
          </w:p>
          <w:p w14:paraId="37C112DA" w14:textId="05C4F179" w:rsidR="00EC4B06" w:rsidRPr="00904310" w:rsidRDefault="00EC4B06" w:rsidP="00274B2A">
            <w:pPr>
              <w:pStyle w:val="Bullet"/>
            </w:pPr>
            <w:r>
              <w:t xml:space="preserve">CE mark, class 111 medical devices rating for dermal </w:t>
            </w:r>
            <w:proofErr w:type="gramStart"/>
            <w:r>
              <w:t>fillers</w:t>
            </w:r>
            <w:proofErr w:type="gramEnd"/>
          </w:p>
          <w:p w14:paraId="04FD10FD" w14:textId="2D8F612F" w:rsidR="00EC4B06" w:rsidRPr="00904310" w:rsidRDefault="00EC4B06" w:rsidP="009D74F3">
            <w:pPr>
              <w:pStyle w:val="Bullet"/>
            </w:pPr>
            <w:r w:rsidRPr="00904310">
              <w:t xml:space="preserve">Adverse incident reporting, for example </w:t>
            </w:r>
            <w:r>
              <w:t>–</w:t>
            </w:r>
            <w:r w:rsidRPr="00904310">
              <w:t xml:space="preserve"> MHRA yellow card scheme, Manufacturer, JCCP</w:t>
            </w:r>
            <w:r>
              <w:t xml:space="preserve"> and insurers</w:t>
            </w:r>
            <w:r w:rsidR="00775261">
              <w:t>’</w:t>
            </w:r>
            <w:r>
              <w:t xml:space="preserve"> requirements </w:t>
            </w:r>
          </w:p>
          <w:p w14:paraId="4908B41F" w14:textId="77777777" w:rsidR="00EC4B06" w:rsidRDefault="00EC4B06" w:rsidP="00274B2A">
            <w:pPr>
              <w:rPr>
                <w:highlight w:val="cyan"/>
              </w:rPr>
            </w:pPr>
          </w:p>
          <w:p w14:paraId="50D71428" w14:textId="753AA74D" w:rsidR="00EC4B06" w:rsidRPr="00274B2A" w:rsidRDefault="001C4B4B" w:rsidP="00274B2A">
            <w:pPr>
              <w:rPr>
                <w:b/>
                <w:color w:val="702F8A"/>
              </w:rPr>
            </w:pPr>
            <w:r>
              <w:rPr>
                <w:b/>
                <w:color w:val="702F8A"/>
              </w:rPr>
              <w:t>2.8</w:t>
            </w:r>
            <w:r w:rsidR="00EC4B06" w:rsidRPr="00274B2A">
              <w:rPr>
                <w:b/>
                <w:color w:val="702F8A"/>
              </w:rPr>
              <w:t>. Management and administration of medication</w:t>
            </w:r>
          </w:p>
          <w:p w14:paraId="1C74B1CC" w14:textId="77BFD311" w:rsidR="00EC4B06" w:rsidRPr="00904310" w:rsidRDefault="00EC4B06" w:rsidP="00274B2A">
            <w:pPr>
              <w:pStyle w:val="Bullet"/>
            </w:pPr>
            <w:r w:rsidRPr="00BD25C4">
              <w:t xml:space="preserve">Activities related to medicines; safety, security, legal </w:t>
            </w:r>
            <w:r w:rsidRPr="00904310">
              <w:t>requirements and local environmental regulations m</w:t>
            </w:r>
            <w:r>
              <w:t xml:space="preserve">ust be considered at all </w:t>
            </w:r>
            <w:proofErr w:type="gramStart"/>
            <w:r>
              <w:t>times</w:t>
            </w:r>
            <w:proofErr w:type="gramEnd"/>
          </w:p>
          <w:p w14:paraId="46F66EDA" w14:textId="57562A38" w:rsidR="00EC4B06" w:rsidRPr="00BD25C4" w:rsidRDefault="00EC4B06" w:rsidP="00DB68C7">
            <w:pPr>
              <w:pStyle w:val="Bullet"/>
            </w:pPr>
            <w:r w:rsidRPr="00BD25C4">
              <w:t xml:space="preserve">Standard Operating Procedures (SOPs) </w:t>
            </w:r>
          </w:p>
          <w:p w14:paraId="77076FA4" w14:textId="1FEB44BD" w:rsidR="00EC4B06" w:rsidRPr="00BD25C4" w:rsidRDefault="00EC4B06" w:rsidP="009D74F3">
            <w:pPr>
              <w:pStyle w:val="Bullet2"/>
              <w:numPr>
                <w:ilvl w:val="0"/>
                <w:numId w:val="18"/>
              </w:numPr>
              <w:spacing w:after="0"/>
            </w:pPr>
            <w:r w:rsidRPr="00BD25C4">
              <w:t>SOPs should be in place covering all as</w:t>
            </w:r>
            <w:r>
              <w:t xml:space="preserve">pects of the medicines </w:t>
            </w:r>
            <w:proofErr w:type="gramStart"/>
            <w:r>
              <w:t>process</w:t>
            </w:r>
            <w:proofErr w:type="gramEnd"/>
          </w:p>
          <w:p w14:paraId="7352ED99" w14:textId="63738F90" w:rsidR="00EC4B06" w:rsidRPr="00BD25C4" w:rsidRDefault="00EC4B06" w:rsidP="009D74F3">
            <w:pPr>
              <w:pStyle w:val="Bullet2"/>
              <w:numPr>
                <w:ilvl w:val="0"/>
                <w:numId w:val="18"/>
              </w:numPr>
              <w:spacing w:after="0"/>
            </w:pPr>
            <w:r w:rsidRPr="00BD25C4">
              <w:t>There must be evidence that practitioners hav</w:t>
            </w:r>
            <w:r>
              <w:t xml:space="preserve">e read and understood the </w:t>
            </w:r>
            <w:proofErr w:type="gramStart"/>
            <w:r>
              <w:t>SOPs</w:t>
            </w:r>
            <w:proofErr w:type="gramEnd"/>
          </w:p>
          <w:p w14:paraId="4F71ECB5" w14:textId="3A1DC348" w:rsidR="00EC4B06" w:rsidRPr="00BD25C4" w:rsidRDefault="00EC4B06" w:rsidP="009D74F3">
            <w:pPr>
              <w:pStyle w:val="Bullet2"/>
              <w:numPr>
                <w:ilvl w:val="0"/>
                <w:numId w:val="18"/>
              </w:numPr>
              <w:spacing w:after="0"/>
            </w:pPr>
            <w:r w:rsidRPr="00BD25C4">
              <w:t xml:space="preserve">SOPs should be </w:t>
            </w:r>
            <w:r>
              <w:t xml:space="preserve">regularly reviewed and </w:t>
            </w:r>
            <w:proofErr w:type="gramStart"/>
            <w:r>
              <w:t>updated</w:t>
            </w:r>
            <w:proofErr w:type="gramEnd"/>
          </w:p>
          <w:p w14:paraId="7AA0339B" w14:textId="762CFEA2" w:rsidR="00EC4B06" w:rsidRPr="00BD25C4" w:rsidRDefault="00EC4B06" w:rsidP="00DB68C7">
            <w:pPr>
              <w:pStyle w:val="Bullet"/>
            </w:pPr>
            <w:r w:rsidRPr="00BD25C4">
              <w:lastRenderedPageBreak/>
              <w:t xml:space="preserve">Prescription </w:t>
            </w:r>
          </w:p>
          <w:p w14:paraId="6EE8C8DA" w14:textId="665BDB75" w:rsidR="00EC4B06" w:rsidRPr="00BD25C4" w:rsidRDefault="00AB3767" w:rsidP="00DB68C7">
            <w:pPr>
              <w:pStyle w:val="Bullet2"/>
            </w:pPr>
            <w:r w:rsidRPr="00BD25C4">
              <w:t>P</w:t>
            </w:r>
            <w:r>
              <w:t>rescription Only Medicine (P</w:t>
            </w:r>
            <w:r w:rsidR="00EC4B06" w:rsidRPr="00BD25C4">
              <w:t>OMs</w:t>
            </w:r>
            <w:r>
              <w:t>)</w:t>
            </w:r>
            <w:r w:rsidR="00EC4B06" w:rsidRPr="00BD25C4">
              <w:t xml:space="preserve"> must only be administered against a v</w:t>
            </w:r>
            <w:r w:rsidR="00EC4B06">
              <w:t>alid prescription written by a</w:t>
            </w:r>
          </w:p>
          <w:p w14:paraId="736E43A9" w14:textId="6A13FCA2" w:rsidR="00EC4B06" w:rsidRPr="00DB68C7" w:rsidRDefault="00EC4B06" w:rsidP="00182C84">
            <w:pPr>
              <w:pStyle w:val="ListParagraph"/>
              <w:numPr>
                <w:ilvl w:val="1"/>
                <w:numId w:val="19"/>
              </w:numPr>
              <w:ind w:left="1721"/>
            </w:pPr>
            <w:r w:rsidRPr="00DB68C7">
              <w:rPr>
                <w:iCs/>
              </w:rPr>
              <w:t>a doctor</w:t>
            </w:r>
          </w:p>
          <w:p w14:paraId="68269CF5" w14:textId="3A803CB3" w:rsidR="00EC4B06" w:rsidRPr="00DB68C7" w:rsidRDefault="00EC4B06" w:rsidP="00182C84">
            <w:pPr>
              <w:pStyle w:val="ListParagraph"/>
              <w:numPr>
                <w:ilvl w:val="1"/>
                <w:numId w:val="19"/>
              </w:numPr>
              <w:ind w:left="1721"/>
            </w:pPr>
            <w:r w:rsidRPr="00DB68C7">
              <w:rPr>
                <w:iCs/>
              </w:rPr>
              <w:t>a dentist</w:t>
            </w:r>
          </w:p>
          <w:p w14:paraId="2C6058DE" w14:textId="30DADBE1" w:rsidR="00EC4B06" w:rsidRPr="00DB68C7" w:rsidRDefault="00EC4B06" w:rsidP="00182C84">
            <w:pPr>
              <w:pStyle w:val="ListParagraph"/>
              <w:numPr>
                <w:ilvl w:val="1"/>
                <w:numId w:val="19"/>
              </w:numPr>
              <w:ind w:left="1721"/>
            </w:pPr>
            <w:r w:rsidRPr="00DB68C7">
              <w:rPr>
                <w:iCs/>
              </w:rPr>
              <w:t>a supplementary prescriber</w:t>
            </w:r>
          </w:p>
          <w:p w14:paraId="073E0BC7" w14:textId="58FFBC23" w:rsidR="00EC4B06" w:rsidRPr="00DB68C7" w:rsidRDefault="00EC4B06" w:rsidP="00182C84">
            <w:pPr>
              <w:pStyle w:val="ListParagraph"/>
              <w:numPr>
                <w:ilvl w:val="1"/>
                <w:numId w:val="19"/>
              </w:numPr>
              <w:ind w:left="1721"/>
            </w:pPr>
            <w:r w:rsidRPr="00DB68C7">
              <w:rPr>
                <w:iCs/>
              </w:rPr>
              <w:t xml:space="preserve">a nurse independent prescriber </w:t>
            </w:r>
          </w:p>
          <w:p w14:paraId="18BFD32F" w14:textId="77777777" w:rsidR="00EC4B06" w:rsidRPr="00DB68C7" w:rsidRDefault="00EC4B06" w:rsidP="00182C84">
            <w:pPr>
              <w:pStyle w:val="ListParagraph"/>
              <w:numPr>
                <w:ilvl w:val="1"/>
                <w:numId w:val="19"/>
              </w:numPr>
              <w:ind w:left="1721"/>
              <w:rPr>
                <w:iCs/>
              </w:rPr>
            </w:pPr>
            <w:r w:rsidRPr="00DB68C7">
              <w:rPr>
                <w:iCs/>
              </w:rPr>
              <w:t>a pharmacist independent prescriber</w:t>
            </w:r>
          </w:p>
          <w:p w14:paraId="7B1C57A6" w14:textId="2BCAA8F0" w:rsidR="00EC4B06" w:rsidRPr="00DB68C7" w:rsidRDefault="00EC4B06" w:rsidP="00182C84">
            <w:pPr>
              <w:pStyle w:val="ListParagraph"/>
              <w:numPr>
                <w:ilvl w:val="1"/>
                <w:numId w:val="19"/>
              </w:numPr>
              <w:ind w:left="1721"/>
              <w:rPr>
                <w:iCs/>
              </w:rPr>
            </w:pPr>
            <w:r w:rsidRPr="00DB68C7">
              <w:rPr>
                <w:iCs/>
              </w:rPr>
              <w:t xml:space="preserve">other </w:t>
            </w:r>
            <w:r w:rsidRPr="00DB68C7">
              <w:rPr>
                <w:lang w:val="en"/>
              </w:rPr>
              <w:t>Health and Care Professions Council</w:t>
            </w:r>
            <w:r w:rsidRPr="00DB68C7">
              <w:rPr>
                <w:iCs/>
              </w:rPr>
              <w:t xml:space="preserve"> (HCPC) registrants f</w:t>
            </w:r>
            <w:r w:rsidRPr="00DB68C7">
              <w:t xml:space="preserve">ollowing administration, appropriate records should be made in the patient’s </w:t>
            </w:r>
            <w:proofErr w:type="gramStart"/>
            <w:r w:rsidRPr="00DB68C7">
              <w:t>notes</w:t>
            </w:r>
            <w:proofErr w:type="gramEnd"/>
          </w:p>
          <w:p w14:paraId="095B8733" w14:textId="06ED57DB" w:rsidR="00EC4B06" w:rsidRDefault="00EC4B06" w:rsidP="00DB68C7">
            <w:pPr>
              <w:pStyle w:val="Bullet"/>
            </w:pPr>
            <w:r>
              <w:t xml:space="preserve">Protocols for administering </w:t>
            </w:r>
            <w:r w:rsidRPr="00904310">
              <w:t xml:space="preserve">Pharmacy only (P) medicine </w:t>
            </w:r>
            <w:r>
              <w:t>when</w:t>
            </w:r>
            <w:r w:rsidRPr="00904310">
              <w:t xml:space="preserve"> it is prescribed, or supplied unde</w:t>
            </w:r>
            <w:r>
              <w:t>r the direction of a pharmacist</w:t>
            </w:r>
          </w:p>
        </w:tc>
      </w:tr>
    </w:tbl>
    <w:p w14:paraId="150955D3" w14:textId="77777777" w:rsidR="00C35465" w:rsidRDefault="00C35465" w:rsidP="00C35465">
      <w:pPr>
        <w:pStyle w:val="Bullet2"/>
        <w:numPr>
          <w:ilvl w:val="0"/>
          <w:numId w:val="0"/>
        </w:numPr>
        <w:rPr>
          <w:highlight w:val="yellow"/>
        </w:rPr>
      </w:pPr>
    </w:p>
    <w:p w14:paraId="222E4530" w14:textId="77777777" w:rsidR="00C35465" w:rsidRDefault="00C35465">
      <w:pPr>
        <w:spacing w:line="259" w:lineRule="auto"/>
        <w:rPr>
          <w:highlight w:val="yellow"/>
        </w:rPr>
      </w:pPr>
      <w:r>
        <w:rPr>
          <w:highlight w:val="yellow"/>
        </w:rPr>
        <w:br w:type="page"/>
      </w:r>
    </w:p>
    <w:p w14:paraId="64210B7E" w14:textId="73436CC3" w:rsidR="00C35465" w:rsidRPr="00DB68C7" w:rsidRDefault="00C35465" w:rsidP="00DB68C7">
      <w:pPr>
        <w:pStyle w:val="Heading2"/>
      </w:pPr>
      <w:r w:rsidRPr="00DB68C7">
        <w:lastRenderedPageBreak/>
        <w:t>LO</w:t>
      </w:r>
      <w:r w:rsidR="009623F5" w:rsidRPr="00DB68C7">
        <w:t>3</w:t>
      </w:r>
      <w:r w:rsidRPr="00DB68C7">
        <w:t xml:space="preserve"> </w:t>
      </w:r>
      <w:r w:rsidR="00891F3E" w:rsidRPr="00891F3E">
        <w:rPr>
          <w:szCs w:val="28"/>
        </w:rPr>
        <w:t>Critically analyse</w:t>
      </w:r>
      <w:r w:rsidR="002A0F14">
        <w:rPr>
          <w:szCs w:val="28"/>
        </w:rPr>
        <w:t xml:space="preserve"> t</w:t>
      </w:r>
      <w:r w:rsidR="00493211">
        <w:t xml:space="preserve">he </w:t>
      </w:r>
      <w:r w:rsidR="009623F5" w:rsidRPr="00DB68C7">
        <w:t xml:space="preserve">key marketing responsibilities in relation to aesthetic </w:t>
      </w:r>
      <w:proofErr w:type="gramStart"/>
      <w:r w:rsidR="0067280A" w:rsidRPr="00DB68C7">
        <w:t>practice</w:t>
      </w:r>
      <w:proofErr w:type="gramEnd"/>
      <w:r w:rsidR="009623F5" w:rsidRPr="00DB68C7">
        <w:t xml:space="preserve"> </w:t>
      </w:r>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16"/>
      </w:tblGrid>
      <w:tr w:rsidR="00EC4B06" w:rsidRPr="007F0350" w14:paraId="68A91391" w14:textId="77777777" w:rsidTr="00EC4B06">
        <w:tc>
          <w:tcPr>
            <w:tcW w:w="5000" w:type="pct"/>
            <w:shd w:val="clear" w:color="auto" w:fill="EFDFF5"/>
            <w:tcMar>
              <w:top w:w="57" w:type="dxa"/>
              <w:bottom w:w="57" w:type="dxa"/>
            </w:tcMar>
            <w:vAlign w:val="center"/>
          </w:tcPr>
          <w:p w14:paraId="6410841C" w14:textId="419F428C" w:rsidR="00EC4B06" w:rsidRPr="009E5A05" w:rsidRDefault="00EC4B06" w:rsidP="00996239">
            <w:pPr>
              <w:pStyle w:val="Boldstatement"/>
            </w:pPr>
            <w:r>
              <w:t>Professional k</w:t>
            </w:r>
            <w:r w:rsidRPr="00996239">
              <w:t>nowledge</w:t>
            </w:r>
            <w:r>
              <w:t xml:space="preserve"> </w:t>
            </w:r>
          </w:p>
        </w:tc>
      </w:tr>
      <w:tr w:rsidR="00996239" w:rsidRPr="00003257" w14:paraId="468EBBB1" w14:textId="77777777" w:rsidTr="00EA49AA">
        <w:trPr>
          <w:trHeight w:val="16"/>
        </w:trPr>
        <w:tc>
          <w:tcPr>
            <w:tcW w:w="5000" w:type="pct"/>
            <w:shd w:val="clear" w:color="auto" w:fill="E7E6E6"/>
            <w:tcMar>
              <w:top w:w="57" w:type="dxa"/>
              <w:bottom w:w="57" w:type="dxa"/>
            </w:tcMar>
          </w:tcPr>
          <w:p w14:paraId="39608302" w14:textId="07B90946" w:rsidR="00996239" w:rsidRPr="0087609D" w:rsidRDefault="00EC4B06" w:rsidP="00996239">
            <w:pPr>
              <w:tabs>
                <w:tab w:val="left" w:pos="1926"/>
              </w:tabs>
              <w:spacing w:before="20" w:after="20"/>
            </w:pPr>
            <w:r>
              <w:rPr>
                <w:color w:val="262626" w:themeColor="text1" w:themeTint="D9"/>
              </w:rPr>
              <w:t>Taught content to include</w:t>
            </w:r>
            <w:r w:rsidR="00182C84">
              <w:rPr>
                <w:color w:val="262626" w:themeColor="text1" w:themeTint="D9"/>
              </w:rPr>
              <w:t>:</w:t>
            </w:r>
          </w:p>
        </w:tc>
      </w:tr>
      <w:tr w:rsidR="00EC4B06" w14:paraId="0DAFF814" w14:textId="77777777" w:rsidTr="00EC4B06">
        <w:tc>
          <w:tcPr>
            <w:tcW w:w="5000" w:type="pct"/>
            <w:tcMar>
              <w:top w:w="57" w:type="dxa"/>
              <w:bottom w:w="57" w:type="dxa"/>
            </w:tcMar>
          </w:tcPr>
          <w:p w14:paraId="378EF614" w14:textId="77777777" w:rsidR="00EC4B06" w:rsidRPr="00DB68C7" w:rsidRDefault="00EC4B06" w:rsidP="00095EA6">
            <w:pPr>
              <w:pStyle w:val="Default"/>
              <w:rPr>
                <w:rFonts w:asciiTheme="minorHAnsi" w:hAnsiTheme="minorHAnsi" w:cstheme="minorHAnsi"/>
                <w:b/>
                <w:color w:val="702F8A"/>
                <w:sz w:val="22"/>
                <w:szCs w:val="22"/>
              </w:rPr>
            </w:pPr>
            <w:r w:rsidRPr="00DB68C7">
              <w:rPr>
                <w:rFonts w:asciiTheme="minorHAnsi" w:hAnsiTheme="minorHAnsi" w:cstheme="minorHAnsi"/>
                <w:b/>
                <w:color w:val="702F8A"/>
                <w:sz w:val="22"/>
                <w:szCs w:val="22"/>
              </w:rPr>
              <w:t>3.1. Marketing requirements</w:t>
            </w:r>
          </w:p>
          <w:p w14:paraId="1D2A1975" w14:textId="3E6FE58B" w:rsidR="00EC4B06" w:rsidRDefault="00EC4B06" w:rsidP="007368B2">
            <w:pPr>
              <w:pStyle w:val="Bullet"/>
            </w:pPr>
            <w:r>
              <w:t>M</w:t>
            </w:r>
            <w:r w:rsidRPr="0072764C">
              <w:t xml:space="preserve">ust be factual, </w:t>
            </w:r>
            <w:r>
              <w:t xml:space="preserve">non-exploitative, </w:t>
            </w:r>
            <w:proofErr w:type="gramStart"/>
            <w:r w:rsidRPr="0072764C">
              <w:t>clear</w:t>
            </w:r>
            <w:proofErr w:type="gramEnd"/>
            <w:r w:rsidRPr="0072764C">
              <w:t xml:space="preserve"> and not misleading, age appropriate,</w:t>
            </w:r>
            <w:r>
              <w:t xml:space="preserve"> provide</w:t>
            </w:r>
            <w:r w:rsidRPr="0072764C">
              <w:t xml:space="preserve"> time </w:t>
            </w:r>
            <w:r w:rsidR="00711E95">
              <w:br/>
            </w:r>
            <w:r w:rsidRPr="0072764C">
              <w:t>to cool off an</w:t>
            </w:r>
            <w:r w:rsidR="00612E40">
              <w:t>d not pressurise</w:t>
            </w:r>
            <w:r>
              <w:t xml:space="preserve"> the individual. Not to use promotional tactics to pressure </w:t>
            </w:r>
            <w:r w:rsidR="00711E95">
              <w:br/>
            </w:r>
            <w:r>
              <w:t xml:space="preserve">ill-considered ideas and not mislead patients as to possible risks from procedure. Not to be offered as a prize. </w:t>
            </w:r>
            <w:r w:rsidRPr="0072764C">
              <w:t>Guidelines offered by regulators such as GMC</w:t>
            </w:r>
            <w:r>
              <w:t>. Not to be offered as “procedure packages”</w:t>
            </w:r>
          </w:p>
          <w:p w14:paraId="731F625C" w14:textId="77777777" w:rsidR="00EC4B06" w:rsidRDefault="00EC4B06" w:rsidP="00095EA6">
            <w:pPr>
              <w:pStyle w:val="Default"/>
              <w:rPr>
                <w:rFonts w:asciiTheme="minorHAnsi" w:hAnsiTheme="minorHAnsi" w:cstheme="minorHAnsi"/>
                <w:color w:val="317676"/>
                <w:sz w:val="22"/>
                <w:szCs w:val="22"/>
              </w:rPr>
            </w:pPr>
            <w:r>
              <w:rPr>
                <w:rFonts w:asciiTheme="minorHAnsi" w:hAnsiTheme="minorHAnsi" w:cstheme="minorHAnsi"/>
                <w:color w:val="auto"/>
                <w:sz w:val="22"/>
                <w:szCs w:val="22"/>
              </w:rPr>
              <w:t xml:space="preserve"> </w:t>
            </w:r>
          </w:p>
          <w:p w14:paraId="5CAC5955" w14:textId="1076F55A" w:rsidR="00EC4B06" w:rsidRPr="00DB68C7" w:rsidRDefault="00EC4B06" w:rsidP="00095EA6">
            <w:pPr>
              <w:pStyle w:val="Default"/>
              <w:rPr>
                <w:rFonts w:asciiTheme="minorHAnsi" w:hAnsiTheme="minorHAnsi" w:cstheme="minorHAnsi"/>
                <w:b/>
                <w:color w:val="702F8A"/>
                <w:sz w:val="22"/>
                <w:szCs w:val="22"/>
              </w:rPr>
            </w:pPr>
            <w:r w:rsidRPr="00DB68C7">
              <w:rPr>
                <w:rFonts w:asciiTheme="minorHAnsi" w:hAnsiTheme="minorHAnsi" w:cstheme="minorHAnsi"/>
                <w:b/>
                <w:color w:val="702F8A"/>
                <w:sz w:val="22"/>
                <w:szCs w:val="22"/>
              </w:rPr>
              <w:t xml:space="preserve">3.2. Role of Advertising Standards Agency </w:t>
            </w:r>
            <w:r w:rsidR="00AB3767">
              <w:rPr>
                <w:rFonts w:asciiTheme="minorHAnsi" w:hAnsiTheme="minorHAnsi" w:cstheme="minorHAnsi"/>
                <w:b/>
                <w:color w:val="702F8A"/>
                <w:sz w:val="22"/>
                <w:szCs w:val="22"/>
              </w:rPr>
              <w:t>(</w:t>
            </w:r>
            <w:r w:rsidRPr="00DB68C7">
              <w:rPr>
                <w:rFonts w:asciiTheme="minorHAnsi" w:hAnsiTheme="minorHAnsi" w:cstheme="minorHAnsi"/>
                <w:b/>
                <w:color w:val="702F8A"/>
                <w:sz w:val="22"/>
                <w:szCs w:val="22"/>
              </w:rPr>
              <w:t>ASA</w:t>
            </w:r>
            <w:r w:rsidR="00AB3767">
              <w:rPr>
                <w:rFonts w:asciiTheme="minorHAnsi" w:hAnsiTheme="minorHAnsi" w:cstheme="minorHAnsi"/>
                <w:b/>
                <w:color w:val="702F8A"/>
                <w:sz w:val="22"/>
                <w:szCs w:val="22"/>
              </w:rPr>
              <w:t>)</w:t>
            </w:r>
          </w:p>
          <w:p w14:paraId="160D60DB" w14:textId="71D3C665" w:rsidR="00EC4B06" w:rsidRPr="0072764C" w:rsidRDefault="00EC4B06" w:rsidP="00DB68C7">
            <w:pPr>
              <w:pStyle w:val="Bullet"/>
            </w:pPr>
            <w:r>
              <w:t>N</w:t>
            </w:r>
            <w:r w:rsidRPr="0072764C">
              <w:t>on-statutory organisation whose codes broadly reflect legislation. Funded by a lev</w:t>
            </w:r>
            <w:r w:rsidR="00711E95">
              <w:t xml:space="preserve">y on the advertising industry. </w:t>
            </w:r>
            <w:r w:rsidRPr="0072764C">
              <w:t>Enforce best practice with regard to marketing a</w:t>
            </w:r>
            <w:r w:rsidR="00612E40">
              <w:t>nd marketing activities, ensure</w:t>
            </w:r>
            <w:r w:rsidRPr="0072764C">
              <w:t xml:space="preserve"> professional advertising standards are </w:t>
            </w:r>
            <w:proofErr w:type="gramStart"/>
            <w:r w:rsidRPr="0072764C">
              <w:t>upheld</w:t>
            </w:r>
            <w:proofErr w:type="gramEnd"/>
            <w:r w:rsidRPr="0072764C">
              <w:t xml:space="preserve"> </w:t>
            </w:r>
          </w:p>
          <w:p w14:paraId="1A4967BC" w14:textId="77777777" w:rsidR="00EC4B06" w:rsidRDefault="00EC4B06" w:rsidP="00095EA6">
            <w:pPr>
              <w:pStyle w:val="Default"/>
              <w:rPr>
                <w:rFonts w:asciiTheme="minorHAnsi" w:hAnsiTheme="minorHAnsi" w:cstheme="minorHAnsi"/>
                <w:sz w:val="22"/>
                <w:szCs w:val="22"/>
              </w:rPr>
            </w:pPr>
          </w:p>
          <w:p w14:paraId="0D1D574A" w14:textId="141F2751" w:rsidR="00EC4B06" w:rsidRPr="00DB68C7" w:rsidRDefault="00EC4B06" w:rsidP="00095EA6">
            <w:pPr>
              <w:pStyle w:val="Default"/>
              <w:rPr>
                <w:rFonts w:asciiTheme="minorHAnsi" w:hAnsiTheme="minorHAnsi" w:cstheme="minorHAnsi"/>
                <w:b/>
                <w:color w:val="702F8A"/>
                <w:sz w:val="22"/>
              </w:rPr>
            </w:pPr>
            <w:r w:rsidRPr="00DB68C7">
              <w:rPr>
                <w:rFonts w:asciiTheme="minorHAnsi" w:hAnsiTheme="minorHAnsi" w:cstheme="minorHAnsi"/>
                <w:b/>
                <w:color w:val="702F8A"/>
                <w:sz w:val="22"/>
              </w:rPr>
              <w:t>3.3. Role of the Committee of Advertising Practice (CAP)</w:t>
            </w:r>
          </w:p>
          <w:p w14:paraId="39AA6A01" w14:textId="5EFF7CE0" w:rsidR="00EC4B06" w:rsidRPr="0072764C" w:rsidRDefault="00EC4B06" w:rsidP="00DB68C7">
            <w:pPr>
              <w:pStyle w:val="Bullet"/>
            </w:pPr>
            <w:r>
              <w:t>B</w:t>
            </w:r>
            <w:r w:rsidRPr="0072764C">
              <w:t>ody that created and maintains the UK Code of Non-broadcast Advertising, Sales Promotion and Direct Marketing which regulates non-bro</w:t>
            </w:r>
            <w:r>
              <w:t xml:space="preserve">adcast marketing </w:t>
            </w:r>
            <w:proofErr w:type="gramStart"/>
            <w:r>
              <w:t>communications</w:t>
            </w:r>
            <w:proofErr w:type="gramEnd"/>
          </w:p>
          <w:p w14:paraId="59B18413" w14:textId="77777777" w:rsidR="00EC4B06" w:rsidRDefault="00EC4B06" w:rsidP="00095EA6">
            <w:pPr>
              <w:pStyle w:val="Default"/>
              <w:rPr>
                <w:rFonts w:asciiTheme="minorHAnsi" w:hAnsiTheme="minorHAnsi" w:cstheme="minorHAnsi"/>
                <w:sz w:val="22"/>
              </w:rPr>
            </w:pPr>
          </w:p>
          <w:p w14:paraId="0A24B355" w14:textId="314454A2" w:rsidR="00EC4B06" w:rsidRPr="00DB68C7" w:rsidRDefault="00EC4B06" w:rsidP="00095EA6">
            <w:pPr>
              <w:pStyle w:val="Default"/>
              <w:rPr>
                <w:rFonts w:asciiTheme="minorHAnsi" w:hAnsiTheme="minorHAnsi" w:cstheme="minorHAnsi"/>
                <w:b/>
                <w:color w:val="702F8A"/>
                <w:sz w:val="22"/>
              </w:rPr>
            </w:pPr>
            <w:r w:rsidRPr="00DB68C7">
              <w:rPr>
                <w:rFonts w:asciiTheme="minorHAnsi" w:hAnsiTheme="minorHAnsi" w:cstheme="minorHAnsi"/>
                <w:b/>
                <w:color w:val="702F8A"/>
                <w:sz w:val="22"/>
              </w:rPr>
              <w:t>3.4. Broadcast Committee of Advertising Practice (BCAP)</w:t>
            </w:r>
          </w:p>
          <w:p w14:paraId="57AD3BAF" w14:textId="08B2D26D" w:rsidR="00EC4B06" w:rsidRPr="00DB68C7" w:rsidRDefault="00EC4B06" w:rsidP="00095EA6">
            <w:pPr>
              <w:pStyle w:val="Bullet"/>
            </w:pPr>
            <w:r>
              <w:rPr>
                <w:rStyle w:val="Emphasis"/>
                <w:rFonts w:cstheme="minorHAnsi"/>
                <w:i w:val="0"/>
              </w:rPr>
              <w:t>B</w:t>
            </w:r>
            <w:r w:rsidRPr="0072764C">
              <w:rPr>
                <w:rStyle w:val="Emphasis"/>
                <w:rFonts w:cstheme="minorHAnsi"/>
                <w:i w:val="0"/>
              </w:rPr>
              <w:t xml:space="preserve">ody responsible for setting standards for television and radio advertisements under powers contracted-out to it by OFCOM, the UK’s communications </w:t>
            </w:r>
            <w:proofErr w:type="gramStart"/>
            <w:r w:rsidRPr="0072764C">
              <w:rPr>
                <w:rStyle w:val="Emphasis"/>
                <w:rFonts w:cstheme="minorHAnsi"/>
                <w:i w:val="0"/>
              </w:rPr>
              <w:t>regulator</w:t>
            </w:r>
            <w:proofErr w:type="gramEnd"/>
          </w:p>
          <w:p w14:paraId="2BD78F61" w14:textId="77777777" w:rsidR="00EC4B06" w:rsidRDefault="00EC4B06" w:rsidP="00DB68C7">
            <w:pPr>
              <w:pStyle w:val="Bullet"/>
            </w:pPr>
            <w:r w:rsidRPr="007D7D53">
              <w:t>The UK Code of Non-broadcast Advertising, Sales Promotion and Direct Marketing (the CAP Code)</w:t>
            </w:r>
          </w:p>
          <w:p w14:paraId="41FDC32F" w14:textId="55292D4E" w:rsidR="00EC4B06" w:rsidRDefault="00EC4B06" w:rsidP="0072764C">
            <w:pPr>
              <w:pStyle w:val="Bullet"/>
            </w:pPr>
            <w:r w:rsidRPr="007D7D53">
              <w:t>The UK Code of Broadcast Advertising (the BCAP Code)</w:t>
            </w:r>
          </w:p>
        </w:tc>
      </w:tr>
    </w:tbl>
    <w:p w14:paraId="5465E810" w14:textId="77777777" w:rsidR="00C35465" w:rsidRDefault="00C35465" w:rsidP="00C35465">
      <w:pPr>
        <w:pStyle w:val="Bullet2"/>
        <w:numPr>
          <w:ilvl w:val="0"/>
          <w:numId w:val="0"/>
        </w:numPr>
        <w:rPr>
          <w:highlight w:val="yellow"/>
        </w:rPr>
      </w:pPr>
    </w:p>
    <w:p w14:paraId="64847E49" w14:textId="77777777" w:rsidR="00C35465" w:rsidRDefault="00C35465">
      <w:pPr>
        <w:spacing w:line="259" w:lineRule="auto"/>
        <w:rPr>
          <w:highlight w:val="yellow"/>
        </w:rPr>
      </w:pPr>
      <w:r>
        <w:rPr>
          <w:highlight w:val="yellow"/>
        </w:rPr>
        <w:br w:type="page"/>
      </w:r>
    </w:p>
    <w:p w14:paraId="49ED9381" w14:textId="389B37F6" w:rsidR="00C35465" w:rsidRPr="00DB68C7" w:rsidRDefault="00C35465" w:rsidP="00DB68C7">
      <w:pPr>
        <w:pStyle w:val="Heading2"/>
      </w:pPr>
      <w:r w:rsidRPr="00DB68C7">
        <w:lastRenderedPageBreak/>
        <w:t>LO</w:t>
      </w:r>
      <w:r w:rsidR="001F6F9E" w:rsidRPr="00DB68C7">
        <w:t>4</w:t>
      </w:r>
      <w:r w:rsidR="00316F9E" w:rsidRPr="00DB68C7">
        <w:t xml:space="preserve"> </w:t>
      </w:r>
      <w:r w:rsidR="007E0133" w:rsidRPr="007E0133">
        <w:rPr>
          <w:szCs w:val="28"/>
        </w:rPr>
        <w:t xml:space="preserve">Integrate knowledge of the health and safety requirements associated with aesthetic </w:t>
      </w:r>
      <w:proofErr w:type="gramStart"/>
      <w:r w:rsidR="007E0133" w:rsidRPr="007E0133">
        <w:rPr>
          <w:szCs w:val="28"/>
        </w:rPr>
        <w:t>practice</w:t>
      </w:r>
      <w:proofErr w:type="gramEnd"/>
      <w:r w:rsidR="00EA1742" w:rsidRPr="00DB68C7">
        <w:t xml:space="preserve"> </w:t>
      </w:r>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16"/>
      </w:tblGrid>
      <w:tr w:rsidR="00EC4B06" w:rsidRPr="007F0350" w14:paraId="36F215EA" w14:textId="77777777" w:rsidTr="00EC4B06">
        <w:tc>
          <w:tcPr>
            <w:tcW w:w="5000" w:type="pct"/>
            <w:shd w:val="clear" w:color="auto" w:fill="EFDFF5"/>
            <w:tcMar>
              <w:top w:w="57" w:type="dxa"/>
              <w:bottom w:w="57" w:type="dxa"/>
            </w:tcMar>
            <w:vAlign w:val="center"/>
          </w:tcPr>
          <w:p w14:paraId="5D203084" w14:textId="412096DD" w:rsidR="00EC4B06" w:rsidRPr="009E5A05" w:rsidRDefault="00EC4B06" w:rsidP="00996239">
            <w:pPr>
              <w:pStyle w:val="Boldstatement"/>
            </w:pPr>
            <w:r>
              <w:t>Professional k</w:t>
            </w:r>
            <w:r w:rsidRPr="00996239">
              <w:t>nowledge</w:t>
            </w:r>
            <w:r>
              <w:t xml:space="preserve"> </w:t>
            </w:r>
          </w:p>
        </w:tc>
      </w:tr>
      <w:tr w:rsidR="00996239" w:rsidRPr="00003257" w14:paraId="1F9D2440" w14:textId="77777777" w:rsidTr="0023654A">
        <w:tc>
          <w:tcPr>
            <w:tcW w:w="5000" w:type="pct"/>
            <w:shd w:val="clear" w:color="auto" w:fill="E7E6E6"/>
            <w:tcMar>
              <w:top w:w="57" w:type="dxa"/>
              <w:bottom w:w="57" w:type="dxa"/>
            </w:tcMar>
          </w:tcPr>
          <w:p w14:paraId="003F834F" w14:textId="18EC94C3" w:rsidR="00996239" w:rsidRPr="0087609D" w:rsidRDefault="00996239" w:rsidP="00996239">
            <w:pPr>
              <w:tabs>
                <w:tab w:val="left" w:pos="1926"/>
              </w:tabs>
              <w:spacing w:before="20" w:after="20"/>
            </w:pPr>
            <w:r>
              <w:rPr>
                <w:color w:val="262626" w:themeColor="text1" w:themeTint="D9"/>
              </w:rPr>
              <w:t xml:space="preserve">Taught content to </w:t>
            </w:r>
            <w:r w:rsidR="00EC4B06">
              <w:rPr>
                <w:color w:val="262626" w:themeColor="text1" w:themeTint="D9"/>
              </w:rPr>
              <w:t>include</w:t>
            </w:r>
            <w:r w:rsidR="00711E95">
              <w:rPr>
                <w:color w:val="262626" w:themeColor="text1" w:themeTint="D9"/>
              </w:rPr>
              <w:t>:</w:t>
            </w:r>
          </w:p>
        </w:tc>
      </w:tr>
      <w:tr w:rsidR="00EC4B06" w14:paraId="31B39702" w14:textId="77777777" w:rsidTr="00D150FB">
        <w:trPr>
          <w:trHeight w:val="2060"/>
        </w:trPr>
        <w:tc>
          <w:tcPr>
            <w:tcW w:w="5000" w:type="pct"/>
            <w:tcMar>
              <w:top w:w="57" w:type="dxa"/>
              <w:bottom w:w="57" w:type="dxa"/>
            </w:tcMar>
          </w:tcPr>
          <w:p w14:paraId="3185B5D0" w14:textId="0321F993" w:rsidR="00EC4B06" w:rsidRPr="00DB68C7" w:rsidRDefault="00EC4B06" w:rsidP="00DB68C7">
            <w:pPr>
              <w:rPr>
                <w:b/>
                <w:color w:val="702F8A"/>
              </w:rPr>
            </w:pPr>
            <w:r w:rsidRPr="00DB68C7">
              <w:rPr>
                <w:b/>
                <w:color w:val="702F8A"/>
              </w:rPr>
              <w:t xml:space="preserve">4.1. </w:t>
            </w:r>
            <w:r>
              <w:rPr>
                <w:b/>
                <w:color w:val="702F8A"/>
              </w:rPr>
              <w:t>I</w:t>
            </w:r>
            <w:r w:rsidRPr="00DB68C7">
              <w:rPr>
                <w:b/>
                <w:color w:val="702F8A"/>
              </w:rPr>
              <w:t xml:space="preserve">nfluencing legislation required for private </w:t>
            </w:r>
            <w:proofErr w:type="gramStart"/>
            <w:r w:rsidRPr="00DB68C7">
              <w:rPr>
                <w:b/>
                <w:color w:val="702F8A"/>
              </w:rPr>
              <w:t>practice</w:t>
            </w:r>
            <w:proofErr w:type="gramEnd"/>
          </w:p>
          <w:p w14:paraId="719CCBCB" w14:textId="4713B1BD" w:rsidR="00EC4B06" w:rsidRPr="00DB68C7" w:rsidRDefault="00EC4B06" w:rsidP="006F142F">
            <w:r w:rsidRPr="00DB68C7">
              <w:t>For example</w:t>
            </w:r>
            <w:r w:rsidR="00711E95">
              <w:t>:</w:t>
            </w:r>
          </w:p>
          <w:p w14:paraId="274325C8" w14:textId="77777777" w:rsidR="00EC4B06" w:rsidRPr="00DB68C7" w:rsidRDefault="00EC4B06" w:rsidP="006F142F">
            <w:pPr>
              <w:pStyle w:val="Bullet"/>
            </w:pPr>
            <w:r w:rsidRPr="00DB68C7">
              <w:t xml:space="preserve">The Environmental Protection Act 1990 </w:t>
            </w:r>
          </w:p>
          <w:p w14:paraId="560D2706" w14:textId="77777777" w:rsidR="00EC4B06" w:rsidRPr="00DB68C7" w:rsidRDefault="00EC4B06" w:rsidP="006F142F">
            <w:pPr>
              <w:pStyle w:val="Bullet"/>
            </w:pPr>
            <w:r w:rsidRPr="00DB68C7">
              <w:t xml:space="preserve">The </w:t>
            </w:r>
            <w:proofErr w:type="gramStart"/>
            <w:r w:rsidRPr="00DB68C7">
              <w:t>Work Place</w:t>
            </w:r>
            <w:proofErr w:type="gramEnd"/>
            <w:r w:rsidRPr="00DB68C7">
              <w:t xml:space="preserve"> Regulations (Health, Safety and Welfare) 1992 </w:t>
            </w:r>
          </w:p>
          <w:p w14:paraId="519EE1F4" w14:textId="77777777" w:rsidR="00EC4B06" w:rsidRPr="00DB68C7" w:rsidRDefault="00EC4B06" w:rsidP="006F142F">
            <w:pPr>
              <w:pStyle w:val="Bullet"/>
            </w:pPr>
            <w:r w:rsidRPr="00DB68C7">
              <w:t xml:space="preserve">Health and Safety at Work Act 1974 </w:t>
            </w:r>
          </w:p>
          <w:p w14:paraId="574F2023" w14:textId="77777777" w:rsidR="00EC4B06" w:rsidRPr="00DB68C7" w:rsidRDefault="00EC4B06" w:rsidP="006F142F">
            <w:pPr>
              <w:pStyle w:val="Bullet"/>
            </w:pPr>
            <w:r w:rsidRPr="00DB68C7">
              <w:t xml:space="preserve">The Management of Health and Safety at Work Regulations 1999 </w:t>
            </w:r>
          </w:p>
          <w:p w14:paraId="1190B808" w14:textId="77777777" w:rsidR="00EC4B06" w:rsidRPr="00DB68C7" w:rsidRDefault="00EC4B06" w:rsidP="006F142F">
            <w:pPr>
              <w:pStyle w:val="Bullet"/>
            </w:pPr>
            <w:r w:rsidRPr="00DB68C7">
              <w:t xml:space="preserve">The Health and Safety (First Aid) Regulations 1981 </w:t>
            </w:r>
          </w:p>
          <w:p w14:paraId="77F0D229" w14:textId="77777777" w:rsidR="00EC4B06" w:rsidRPr="00DB68C7" w:rsidRDefault="00EC4B06" w:rsidP="006F142F">
            <w:pPr>
              <w:pStyle w:val="Bullet"/>
            </w:pPr>
            <w:r w:rsidRPr="00DB68C7">
              <w:t xml:space="preserve">Dangerous Substances and Preparations (Nickel) (Safety) Regulations 2005 </w:t>
            </w:r>
          </w:p>
          <w:p w14:paraId="6CBB6521" w14:textId="77777777" w:rsidR="00EC4B06" w:rsidRPr="00DB68C7" w:rsidRDefault="00EC4B06" w:rsidP="006F142F">
            <w:pPr>
              <w:pStyle w:val="Bullet"/>
            </w:pPr>
            <w:r w:rsidRPr="00DB68C7">
              <w:t xml:space="preserve">The Personal Protective Equipment at Work Regulations 1992 </w:t>
            </w:r>
          </w:p>
          <w:p w14:paraId="6C23951A" w14:textId="77777777" w:rsidR="00EC4B06" w:rsidRPr="00DB68C7" w:rsidRDefault="00EC4B06" w:rsidP="006F142F">
            <w:pPr>
              <w:pStyle w:val="Bullet"/>
            </w:pPr>
            <w:r w:rsidRPr="00DB68C7">
              <w:t xml:space="preserve">The Provision and Use of Work Equipment Regulations 1998 </w:t>
            </w:r>
          </w:p>
          <w:p w14:paraId="2C1BF8DD" w14:textId="77777777" w:rsidR="00EC4B06" w:rsidRPr="00DB68C7" w:rsidRDefault="00EC4B06" w:rsidP="006F142F">
            <w:pPr>
              <w:pStyle w:val="Bullet"/>
            </w:pPr>
            <w:r w:rsidRPr="00DB68C7">
              <w:t xml:space="preserve">The Control of Substances Hazardous to Health Regulations (COSHH) 2002 </w:t>
            </w:r>
          </w:p>
          <w:p w14:paraId="4826F7D9" w14:textId="77777777" w:rsidR="00EC4B06" w:rsidRPr="00DB68C7" w:rsidRDefault="00EC4B06" w:rsidP="006F142F">
            <w:pPr>
              <w:pStyle w:val="Bullet"/>
            </w:pPr>
            <w:r w:rsidRPr="00DB68C7">
              <w:t xml:space="preserve">Reporting of Injuries, Diseases and Dangerous Occurrences Regulations (RIDDOR) 2013 </w:t>
            </w:r>
          </w:p>
          <w:p w14:paraId="19FF1733" w14:textId="77777777" w:rsidR="00EC4B06" w:rsidRPr="00DB68C7" w:rsidRDefault="00EC4B06" w:rsidP="006F142F">
            <w:pPr>
              <w:pStyle w:val="Bullet"/>
            </w:pPr>
            <w:r w:rsidRPr="00DB68C7">
              <w:t xml:space="preserve">The Electricity at Work Regulations 1989 </w:t>
            </w:r>
          </w:p>
          <w:p w14:paraId="01770E67" w14:textId="77777777" w:rsidR="00EC4B06" w:rsidRDefault="00EC4B06" w:rsidP="006F142F">
            <w:pPr>
              <w:pStyle w:val="Bullet"/>
            </w:pPr>
            <w:r w:rsidRPr="00DB68C7">
              <w:t>The Fire Precautions Act 1971</w:t>
            </w:r>
          </w:p>
          <w:p w14:paraId="4A6217B1" w14:textId="77777777" w:rsidR="00EC4B06" w:rsidRDefault="00EC4B06" w:rsidP="00EC4B06">
            <w:pPr>
              <w:pStyle w:val="Bullet"/>
              <w:numPr>
                <w:ilvl w:val="0"/>
                <w:numId w:val="0"/>
              </w:numPr>
              <w:ind w:left="357" w:hanging="357"/>
            </w:pPr>
          </w:p>
          <w:p w14:paraId="311E1138" w14:textId="77777777" w:rsidR="00EC4B06" w:rsidRPr="00DB68C7" w:rsidRDefault="00EC4B06" w:rsidP="00EC4B06">
            <w:pPr>
              <w:rPr>
                <w:b/>
                <w:color w:val="702F8A"/>
              </w:rPr>
            </w:pPr>
            <w:r w:rsidRPr="00DB68C7">
              <w:rPr>
                <w:b/>
                <w:color w:val="702F8A"/>
              </w:rPr>
              <w:t>4.2</w:t>
            </w:r>
            <w:r>
              <w:rPr>
                <w:b/>
                <w:color w:val="702F8A"/>
              </w:rPr>
              <w:t>.</w:t>
            </w:r>
            <w:r w:rsidRPr="00DB68C7">
              <w:rPr>
                <w:b/>
                <w:color w:val="702F8A"/>
              </w:rPr>
              <w:t xml:space="preserve"> Operational policies and procedures required for aesthetic </w:t>
            </w:r>
            <w:proofErr w:type="gramStart"/>
            <w:r w:rsidRPr="00DB68C7">
              <w:rPr>
                <w:b/>
                <w:color w:val="702F8A"/>
              </w:rPr>
              <w:t>practice</w:t>
            </w:r>
            <w:proofErr w:type="gramEnd"/>
          </w:p>
          <w:p w14:paraId="69875C7F" w14:textId="599682A4" w:rsidR="00EC4B06" w:rsidRPr="00DB68C7" w:rsidRDefault="00EC4B06" w:rsidP="00EC4B06">
            <w:r>
              <w:t>F</w:t>
            </w:r>
            <w:r w:rsidRPr="00DB68C7">
              <w:t>or example</w:t>
            </w:r>
            <w:r w:rsidR="00711E95">
              <w:t>:</w:t>
            </w:r>
          </w:p>
          <w:p w14:paraId="08F45519" w14:textId="77777777" w:rsidR="00EC4B06" w:rsidRPr="00DB68C7" w:rsidRDefault="00EC4B06" w:rsidP="00EC4B06">
            <w:pPr>
              <w:pStyle w:val="Bullet"/>
            </w:pPr>
            <w:r>
              <w:t>Infection control principles: u</w:t>
            </w:r>
            <w:r w:rsidRPr="00DB68C7">
              <w:t>nderstanding of In</w:t>
            </w:r>
            <w:r>
              <w:t>fection Prevention Society’s quality improvement t</w:t>
            </w:r>
            <w:r w:rsidRPr="00DB68C7">
              <w:t>ools, adopting an approach to unive</w:t>
            </w:r>
            <w:r>
              <w:t>rsal and standard precautions, h</w:t>
            </w:r>
            <w:r w:rsidRPr="00DB68C7">
              <w:t xml:space="preserve">and hygiene, </w:t>
            </w:r>
            <w:r>
              <w:t xml:space="preserve">hand hygiene observation </w:t>
            </w:r>
            <w:proofErr w:type="gramStart"/>
            <w:r>
              <w:t>tool</w:t>
            </w:r>
            <w:proofErr w:type="gramEnd"/>
          </w:p>
          <w:p w14:paraId="36DEA3C7" w14:textId="0F436225" w:rsidR="00EC4B06" w:rsidRPr="00DB68C7" w:rsidRDefault="00EC4B06" w:rsidP="00AB3767">
            <w:pPr>
              <w:pStyle w:val="Bullet"/>
            </w:pPr>
            <w:r w:rsidRPr="00DB68C7">
              <w:t xml:space="preserve">Protocols for assuring infection control whilst performing </w:t>
            </w:r>
            <w:r w:rsidR="00AB3767">
              <w:t>n</w:t>
            </w:r>
            <w:r w:rsidRPr="00DB68C7">
              <w:t xml:space="preserve">on-surgical procedures: </w:t>
            </w:r>
          </w:p>
          <w:p w14:paraId="163DD4C0" w14:textId="78BBE908" w:rsidR="00EC4B06" w:rsidRPr="00DB68C7" w:rsidRDefault="00711E95" w:rsidP="00EC4B06">
            <w:pPr>
              <w:pStyle w:val="Bullet2"/>
            </w:pPr>
            <w:r>
              <w:t>R</w:t>
            </w:r>
            <w:r w:rsidR="00EC4B06" w:rsidRPr="00DB68C7">
              <w:t>oom asepsis</w:t>
            </w:r>
          </w:p>
          <w:p w14:paraId="5D1779DA" w14:textId="77777777" w:rsidR="00EC4B06" w:rsidRPr="00DB68C7" w:rsidRDefault="00EC4B06" w:rsidP="00EC4B06">
            <w:pPr>
              <w:pStyle w:val="Bullet2"/>
            </w:pPr>
            <w:r>
              <w:t>H</w:t>
            </w:r>
            <w:r w:rsidRPr="00DB68C7">
              <w:t>and cleaning procedures</w:t>
            </w:r>
          </w:p>
          <w:p w14:paraId="68AA918F" w14:textId="77777777" w:rsidR="00EC4B06" w:rsidRPr="00DB68C7" w:rsidRDefault="00EC4B06" w:rsidP="00EC4B06">
            <w:pPr>
              <w:pStyle w:val="Bullet2"/>
            </w:pPr>
            <w:r>
              <w:t>S</w:t>
            </w:r>
            <w:r w:rsidRPr="00DB68C7">
              <w:t>kin disinfection</w:t>
            </w:r>
          </w:p>
          <w:p w14:paraId="729F1455" w14:textId="77777777" w:rsidR="00EC4B06" w:rsidRPr="00DB68C7" w:rsidRDefault="00EC4B06" w:rsidP="00EC4B06">
            <w:pPr>
              <w:pStyle w:val="Bullet2"/>
            </w:pPr>
            <w:r>
              <w:t>I</w:t>
            </w:r>
            <w:r w:rsidRPr="00DB68C7">
              <w:t>nstrument handling protocol</w:t>
            </w:r>
          </w:p>
          <w:p w14:paraId="5BDBE49B" w14:textId="77777777" w:rsidR="00EC4B06" w:rsidRPr="00DB68C7" w:rsidRDefault="00EC4B06" w:rsidP="00EC4B06">
            <w:pPr>
              <w:pStyle w:val="Bullet2"/>
            </w:pPr>
            <w:r w:rsidRPr="00DB68C7">
              <w:t xml:space="preserve">Infection prevention practice </w:t>
            </w:r>
            <w:r>
              <w:t>across the injection procedures</w:t>
            </w:r>
          </w:p>
          <w:p w14:paraId="1DDE0586" w14:textId="77777777" w:rsidR="00EC4B06" w:rsidRPr="00DB68C7" w:rsidRDefault="00EC4B06" w:rsidP="00EC4B06">
            <w:pPr>
              <w:pStyle w:val="Bullet"/>
            </w:pPr>
            <w:r w:rsidRPr="00DB68C7">
              <w:t xml:space="preserve">Working practices: </w:t>
            </w:r>
            <w:r>
              <w:t>p</w:t>
            </w:r>
            <w:r w:rsidRPr="00DB68C7">
              <w:t xml:space="preserve">ositioning of self, </w:t>
            </w:r>
            <w:proofErr w:type="gramStart"/>
            <w:r w:rsidRPr="00DB68C7">
              <w:t>patient</w:t>
            </w:r>
            <w:proofErr w:type="gramEnd"/>
            <w:r w:rsidRPr="00DB68C7">
              <w:t xml:space="preserve"> and equipment in accordance with safe, ergonomic working practices and procedure protocols that minimise fatigue and the risk of injury to self and others. Use environmental and sustainable working practices. Minimise risk and maintain the individual's </w:t>
            </w:r>
            <w:proofErr w:type="gramStart"/>
            <w:r w:rsidRPr="00DB68C7">
              <w:t>safety</w:t>
            </w:r>
            <w:proofErr w:type="gramEnd"/>
          </w:p>
          <w:p w14:paraId="32B13CEB" w14:textId="77777777" w:rsidR="00EC4B06" w:rsidRDefault="00EC4B06" w:rsidP="00EC4B06">
            <w:pPr>
              <w:pStyle w:val="Bullet"/>
            </w:pPr>
            <w:proofErr w:type="gramStart"/>
            <w:r>
              <w:t>Premises</w:t>
            </w:r>
            <w:proofErr w:type="gramEnd"/>
            <w:r>
              <w:t xml:space="preserve"> requirements: s</w:t>
            </w:r>
            <w:r w:rsidRPr="00DB68C7">
              <w:t>afe, sterile, suitably equipped, suitably staffed, compliance with regulatory and voluntary requir</w:t>
            </w:r>
            <w:r>
              <w:t xml:space="preserve">ements and legal requirements  </w:t>
            </w:r>
          </w:p>
          <w:p w14:paraId="5456FE96" w14:textId="77777777" w:rsidR="00EC4B06" w:rsidRDefault="00EC4B06" w:rsidP="00EC4B06">
            <w:pPr>
              <w:pStyle w:val="Bullet"/>
            </w:pPr>
            <w:r w:rsidRPr="00DB68C7">
              <w:t xml:space="preserve">Maintenance of health and safety practices in accordance with Health and Safety at Work Act; Safe use of materials, </w:t>
            </w:r>
            <w:proofErr w:type="gramStart"/>
            <w:r w:rsidRPr="00DB68C7">
              <w:t>equipment</w:t>
            </w:r>
            <w:proofErr w:type="gramEnd"/>
            <w:r w:rsidRPr="00DB68C7">
              <w:t xml:space="preserve"> and products</w:t>
            </w:r>
          </w:p>
          <w:p w14:paraId="56E540B2" w14:textId="77777777" w:rsidR="00EC4B06" w:rsidRDefault="00EC4B06" w:rsidP="00EC4B06">
            <w:pPr>
              <w:pStyle w:val="Bullet"/>
              <w:numPr>
                <w:ilvl w:val="0"/>
                <w:numId w:val="0"/>
              </w:numPr>
              <w:ind w:left="357" w:hanging="357"/>
            </w:pPr>
          </w:p>
          <w:p w14:paraId="15E3075D" w14:textId="77777777" w:rsidR="00EC4B06" w:rsidRPr="006F142F" w:rsidRDefault="00EC4B06" w:rsidP="00EC4B06">
            <w:pPr>
              <w:rPr>
                <w:b/>
                <w:color w:val="702F8A"/>
              </w:rPr>
            </w:pPr>
            <w:r w:rsidRPr="006F142F">
              <w:rPr>
                <w:b/>
                <w:color w:val="702F8A"/>
              </w:rPr>
              <w:t>4.3. Use of Personal Protective Equipment and Clothing (PPE/C)</w:t>
            </w:r>
          </w:p>
          <w:p w14:paraId="671A9CFF" w14:textId="67B98329" w:rsidR="00EC4B06" w:rsidRDefault="00EC4B06" w:rsidP="00EC4B06">
            <w:pPr>
              <w:pStyle w:val="Bullet"/>
            </w:pPr>
            <w:r w:rsidRPr="006F142F">
              <w:t xml:space="preserve">PPE/C provided, free of charge, to employees/practitioners as determined through </w:t>
            </w:r>
            <w:r w:rsidR="00711E95">
              <w:br/>
            </w:r>
            <w:r w:rsidRPr="006F142F">
              <w:t xml:space="preserve">risk assessment. Training and information on the safe use of PPE/C provided to all employees/practitioners. Compulsory and proper use and storage of PPE/C enforced. </w:t>
            </w:r>
            <w:r w:rsidR="00711E95">
              <w:br/>
            </w:r>
            <w:r w:rsidRPr="006F142F">
              <w:t xml:space="preserve">PPE/C maintained and </w:t>
            </w:r>
            <w:proofErr w:type="gramStart"/>
            <w:r w:rsidRPr="006F142F">
              <w:t>replaced</w:t>
            </w:r>
            <w:proofErr w:type="gramEnd"/>
          </w:p>
          <w:p w14:paraId="31F21438" w14:textId="69E16E1E" w:rsidR="00EC4B06" w:rsidRDefault="00EC4B06" w:rsidP="00EC4B06">
            <w:pPr>
              <w:pStyle w:val="Bullet"/>
              <w:numPr>
                <w:ilvl w:val="0"/>
                <w:numId w:val="0"/>
              </w:numPr>
              <w:ind w:left="357" w:hanging="357"/>
            </w:pPr>
          </w:p>
          <w:p w14:paraId="084A5243" w14:textId="610B411D" w:rsidR="00EC4B06" w:rsidRDefault="00EC4B06" w:rsidP="00EC4B06">
            <w:pPr>
              <w:pStyle w:val="Bullet"/>
              <w:numPr>
                <w:ilvl w:val="0"/>
                <w:numId w:val="0"/>
              </w:numPr>
              <w:ind w:left="357" w:hanging="357"/>
            </w:pPr>
          </w:p>
          <w:p w14:paraId="07CDEB7A" w14:textId="7BCF9158" w:rsidR="00B87999" w:rsidRDefault="00B87999" w:rsidP="00EC4B06">
            <w:pPr>
              <w:pStyle w:val="Bullet"/>
              <w:numPr>
                <w:ilvl w:val="0"/>
                <w:numId w:val="0"/>
              </w:numPr>
              <w:ind w:left="357" w:hanging="357"/>
            </w:pPr>
          </w:p>
          <w:p w14:paraId="6507C73E" w14:textId="77777777" w:rsidR="00B87999" w:rsidRDefault="00B87999" w:rsidP="00EC4B06">
            <w:pPr>
              <w:pStyle w:val="Bullet"/>
              <w:numPr>
                <w:ilvl w:val="0"/>
                <w:numId w:val="0"/>
              </w:numPr>
              <w:ind w:left="357" w:hanging="357"/>
            </w:pPr>
          </w:p>
          <w:p w14:paraId="356BF710" w14:textId="1B8333D1" w:rsidR="00EC4B06" w:rsidRPr="006F142F" w:rsidRDefault="00EC4B06" w:rsidP="00EC4B06">
            <w:pPr>
              <w:rPr>
                <w:b/>
                <w:color w:val="702F8A"/>
              </w:rPr>
            </w:pPr>
            <w:r w:rsidRPr="00400895">
              <w:rPr>
                <w:b/>
                <w:color w:val="702F8A"/>
              </w:rPr>
              <w:lastRenderedPageBreak/>
              <w:t>4.4. Sourcing of products</w:t>
            </w:r>
            <w:r w:rsidR="00893449" w:rsidRPr="00400895">
              <w:rPr>
                <w:b/>
                <w:color w:val="702F8A"/>
              </w:rPr>
              <w:t xml:space="preserve"> </w:t>
            </w:r>
            <w:r w:rsidR="00893449">
              <w:rPr>
                <w:b/>
                <w:color w:val="702F8A"/>
              </w:rPr>
              <w:t xml:space="preserve"> </w:t>
            </w:r>
            <w:r w:rsidR="009D33D3">
              <w:rPr>
                <w:b/>
                <w:color w:val="702F8A"/>
              </w:rPr>
              <w:t xml:space="preserve"> </w:t>
            </w:r>
          </w:p>
          <w:p w14:paraId="46833357" w14:textId="77777777" w:rsidR="00EC4B06" w:rsidRDefault="00EC4B06" w:rsidP="00EC4B06">
            <w:pPr>
              <w:pStyle w:val="Bullet"/>
            </w:pPr>
            <w:r>
              <w:t>W</w:t>
            </w:r>
            <w:r w:rsidRPr="006F142F">
              <w:t xml:space="preserve">hy you </w:t>
            </w:r>
            <w:r w:rsidRPr="00EC4B06">
              <w:t>must</w:t>
            </w:r>
            <w:r w:rsidRPr="006F142F">
              <w:t xml:space="preserve"> source equipment and products which compl</w:t>
            </w:r>
            <w:r>
              <w:t xml:space="preserve">y with legislative </w:t>
            </w:r>
            <w:proofErr w:type="gramStart"/>
            <w:r>
              <w:t>requirements</w:t>
            </w:r>
            <w:proofErr w:type="gramEnd"/>
          </w:p>
          <w:p w14:paraId="30065728" w14:textId="7E4A68F4" w:rsidR="00400895" w:rsidRDefault="00400895" w:rsidP="00EC4B06">
            <w:pPr>
              <w:pStyle w:val="Bullet"/>
            </w:pPr>
            <w:r w:rsidRPr="00DD3BE1">
              <w:t xml:space="preserve">Reputable manufacturer or pharmacy, parallel imports, </w:t>
            </w:r>
            <w:r>
              <w:t>e</w:t>
            </w:r>
            <w:r w:rsidRPr="00DD3BE1">
              <w:t>vidence based for new products to market. Manufacturer and social media influences</w:t>
            </w:r>
          </w:p>
          <w:p w14:paraId="161BD004" w14:textId="77777777" w:rsidR="00EC4B06" w:rsidRDefault="00EC4B06" w:rsidP="00EC4B06">
            <w:pPr>
              <w:pStyle w:val="Bullet"/>
              <w:numPr>
                <w:ilvl w:val="0"/>
                <w:numId w:val="0"/>
              </w:numPr>
              <w:ind w:left="357" w:hanging="357"/>
            </w:pPr>
          </w:p>
          <w:p w14:paraId="2E9C915B" w14:textId="77777777" w:rsidR="00EC4B06" w:rsidRPr="006F142F" w:rsidRDefault="00EC4B06" w:rsidP="00EC4B06">
            <w:pPr>
              <w:rPr>
                <w:b/>
                <w:color w:val="702F8A"/>
              </w:rPr>
            </w:pPr>
            <w:r w:rsidRPr="006F142F">
              <w:rPr>
                <w:b/>
                <w:color w:val="702F8A"/>
              </w:rPr>
              <w:t xml:space="preserve">4.5. Recognised clinical waste management </w:t>
            </w:r>
            <w:proofErr w:type="gramStart"/>
            <w:r w:rsidRPr="006F142F">
              <w:rPr>
                <w:b/>
                <w:color w:val="702F8A"/>
              </w:rPr>
              <w:t>protocols</w:t>
            </w:r>
            <w:proofErr w:type="gramEnd"/>
          </w:p>
          <w:p w14:paraId="47811EA9" w14:textId="77777777" w:rsidR="00EC4B06" w:rsidRPr="006F142F" w:rsidRDefault="00EC4B06" w:rsidP="00EC4B06">
            <w:pPr>
              <w:pStyle w:val="Bullet"/>
            </w:pPr>
            <w:r w:rsidRPr="006F142F">
              <w:t xml:space="preserve">Compliance with the Department of Health Healthcare Technical Memorandum 07-01: safe management </w:t>
            </w:r>
            <w:r>
              <w:t xml:space="preserve">of healthcare </w:t>
            </w:r>
            <w:proofErr w:type="gramStart"/>
            <w:r>
              <w:t>waste</w:t>
            </w:r>
            <w:r w:rsidRPr="006F142F">
              <w:rPr>
                <w:vertAlign w:val="superscript"/>
              </w:rPr>
              <w:t>(</w:t>
            </w:r>
            <w:proofErr w:type="gramEnd"/>
            <w:r w:rsidRPr="006F142F">
              <w:rPr>
                <w:vertAlign w:val="superscript"/>
              </w:rPr>
              <w:t>1)</w:t>
            </w:r>
          </w:p>
          <w:p w14:paraId="3F8201A0" w14:textId="77777777" w:rsidR="00EC4B06" w:rsidRPr="006F142F" w:rsidRDefault="00EC4B06" w:rsidP="00EC4B06">
            <w:pPr>
              <w:pStyle w:val="Bullet"/>
            </w:pPr>
            <w:proofErr w:type="gramStart"/>
            <w:r>
              <w:t>Sharps</w:t>
            </w:r>
            <w:r w:rsidRPr="006F142F">
              <w:rPr>
                <w:vertAlign w:val="superscript"/>
              </w:rPr>
              <w:t>(</w:t>
            </w:r>
            <w:proofErr w:type="gramEnd"/>
            <w:r w:rsidRPr="006F142F">
              <w:rPr>
                <w:vertAlign w:val="superscript"/>
              </w:rPr>
              <w:t>2)</w:t>
            </w:r>
          </w:p>
          <w:p w14:paraId="798534DB" w14:textId="52E99CDA" w:rsidR="00EC4B06" w:rsidRPr="006F142F" w:rsidRDefault="00EC4B06" w:rsidP="00EC4B06">
            <w:pPr>
              <w:pStyle w:val="Bullet2"/>
            </w:pPr>
            <w:r>
              <w:t>Sharps b</w:t>
            </w:r>
            <w:r w:rsidRPr="006F142F">
              <w:t xml:space="preserve">oxes </w:t>
            </w:r>
            <w:r>
              <w:t>– b</w:t>
            </w:r>
            <w:r w:rsidRPr="006F142F">
              <w:t>oxes for the disposal of scalpels, needles or any other sharps must comply with BS 7320 and UN3291.The</w:t>
            </w:r>
            <w:r>
              <w:t xml:space="preserve"> sharps box lid colour code is</w:t>
            </w:r>
            <w:r w:rsidR="00711E95">
              <w:t>:</w:t>
            </w:r>
          </w:p>
          <w:p w14:paraId="0649BEAE" w14:textId="77777777" w:rsidR="00EC4B06" w:rsidRPr="006F142F" w:rsidRDefault="00EC4B06" w:rsidP="00EC4B06">
            <w:pPr>
              <w:pStyle w:val="Bullet"/>
              <w:numPr>
                <w:ilvl w:val="2"/>
                <w:numId w:val="1"/>
              </w:numPr>
            </w:pPr>
            <w:r w:rsidRPr="006F142F">
              <w:t xml:space="preserve">Purple – for sharps contaminated with cytotoxic or cytostatic </w:t>
            </w:r>
            <w:proofErr w:type="gramStart"/>
            <w:r w:rsidRPr="006F142F">
              <w:t>drugs</w:t>
            </w:r>
            <w:proofErr w:type="gramEnd"/>
            <w:r w:rsidRPr="006F142F">
              <w:t xml:space="preserve"> </w:t>
            </w:r>
          </w:p>
          <w:p w14:paraId="5624DC45" w14:textId="77777777" w:rsidR="00EC4B06" w:rsidRPr="006F142F" w:rsidRDefault="00EC4B06" w:rsidP="00EC4B06">
            <w:pPr>
              <w:pStyle w:val="Bullet"/>
              <w:numPr>
                <w:ilvl w:val="2"/>
                <w:numId w:val="1"/>
              </w:numPr>
            </w:pPr>
            <w:r w:rsidRPr="006F142F">
              <w:t>Orange</w:t>
            </w:r>
            <w:r>
              <w:t xml:space="preserve"> –</w:t>
            </w:r>
            <w:r w:rsidRPr="006F142F">
              <w:t xml:space="preserve"> sharps waste not contaminated with any drugs/</w:t>
            </w:r>
            <w:proofErr w:type="gramStart"/>
            <w:r w:rsidRPr="006F142F">
              <w:t>chemicals</w:t>
            </w:r>
            <w:proofErr w:type="gramEnd"/>
            <w:r w:rsidRPr="006F142F">
              <w:t xml:space="preserve"> </w:t>
            </w:r>
          </w:p>
          <w:p w14:paraId="5F2332B5" w14:textId="77777777" w:rsidR="00EC4B06" w:rsidRPr="006F142F" w:rsidRDefault="00EC4B06" w:rsidP="00EC4B06">
            <w:pPr>
              <w:pStyle w:val="Bullet"/>
              <w:numPr>
                <w:ilvl w:val="2"/>
                <w:numId w:val="1"/>
              </w:numPr>
            </w:pPr>
            <w:r w:rsidRPr="006F142F">
              <w:t>Yellow</w:t>
            </w:r>
            <w:r>
              <w:t xml:space="preserve"> –</w:t>
            </w:r>
            <w:r w:rsidRPr="006F142F">
              <w:t xml:space="preserve"> sharps waste contaminated with any drugs/</w:t>
            </w:r>
            <w:proofErr w:type="gramStart"/>
            <w:r w:rsidRPr="006F142F">
              <w:t>chemicals</w:t>
            </w:r>
            <w:proofErr w:type="gramEnd"/>
            <w:r w:rsidRPr="006F142F">
              <w:t xml:space="preserve"> </w:t>
            </w:r>
          </w:p>
          <w:p w14:paraId="645D3C51" w14:textId="77777777" w:rsidR="00EC4B06" w:rsidRPr="006F142F" w:rsidRDefault="00EC4B06" w:rsidP="00EC4B06">
            <w:pPr>
              <w:pStyle w:val="Bullet"/>
            </w:pPr>
            <w:r w:rsidRPr="006F142F">
              <w:t xml:space="preserve">Clinical waste </w:t>
            </w:r>
            <w:r>
              <w:t>–</w:t>
            </w:r>
            <w:r w:rsidRPr="006F142F">
              <w:t xml:space="preserve"> bags </w:t>
            </w:r>
          </w:p>
          <w:p w14:paraId="67DFE536" w14:textId="77777777" w:rsidR="00EC4B06" w:rsidRDefault="00EC4B06" w:rsidP="00EC4B06">
            <w:pPr>
              <w:pStyle w:val="Bullet2"/>
            </w:pPr>
            <w:r>
              <w:t>Waste bags</w:t>
            </w:r>
          </w:p>
          <w:p w14:paraId="13693724" w14:textId="77777777" w:rsidR="00EC4B06" w:rsidRPr="006F142F" w:rsidRDefault="00EC4B06" w:rsidP="00EC4B06">
            <w:pPr>
              <w:pStyle w:val="Bullet"/>
              <w:numPr>
                <w:ilvl w:val="2"/>
                <w:numId w:val="1"/>
              </w:numPr>
            </w:pPr>
            <w:r w:rsidRPr="006F142F">
              <w:t xml:space="preserve">Black – for non-hazardous waste </w:t>
            </w:r>
          </w:p>
          <w:p w14:paraId="4675107B" w14:textId="7C2C1695" w:rsidR="00EC4B06" w:rsidRPr="006F142F" w:rsidRDefault="00EC4B06" w:rsidP="00EC4B06">
            <w:pPr>
              <w:pStyle w:val="Bullet"/>
              <w:numPr>
                <w:ilvl w:val="2"/>
                <w:numId w:val="1"/>
              </w:numPr>
            </w:pPr>
            <w:r w:rsidRPr="006F142F">
              <w:t>Orange – clinical/infectious waste with no chemical contamination includ</w:t>
            </w:r>
            <w:r w:rsidR="001A3768">
              <w:t xml:space="preserve">ing </w:t>
            </w:r>
            <w:r w:rsidRPr="006F142F">
              <w:t xml:space="preserve">all blood soiled </w:t>
            </w:r>
            <w:proofErr w:type="gramStart"/>
            <w:r w:rsidRPr="006F142F">
              <w:t>waste</w:t>
            </w:r>
            <w:proofErr w:type="gramEnd"/>
            <w:r w:rsidRPr="006F142F">
              <w:t xml:space="preserve"> </w:t>
            </w:r>
          </w:p>
          <w:p w14:paraId="136FAA52" w14:textId="77777777" w:rsidR="00EC4B06" w:rsidRDefault="00EC4B06" w:rsidP="00EC4B06">
            <w:pPr>
              <w:pStyle w:val="Bullet"/>
              <w:numPr>
                <w:ilvl w:val="2"/>
                <w:numId w:val="1"/>
              </w:numPr>
            </w:pPr>
            <w:r w:rsidRPr="006F142F">
              <w:t xml:space="preserve">Yellow – clinical/highly infectious waste with chemical contamination </w:t>
            </w:r>
          </w:p>
          <w:p w14:paraId="4222867C" w14:textId="77777777" w:rsidR="00EC4B06" w:rsidRDefault="00EC4B06" w:rsidP="00EC4B06">
            <w:pPr>
              <w:pStyle w:val="Bullet"/>
              <w:numPr>
                <w:ilvl w:val="2"/>
                <w:numId w:val="1"/>
              </w:numPr>
            </w:pPr>
            <w:r w:rsidRPr="006F142F">
              <w:t xml:space="preserve">Tiger stripe waste – offensive waste but not known to be infection </w:t>
            </w:r>
            <w:proofErr w:type="gramStart"/>
            <w:r w:rsidRPr="006F142F">
              <w:t>risk</w:t>
            </w:r>
            <w:proofErr w:type="gramEnd"/>
          </w:p>
          <w:p w14:paraId="3087A184" w14:textId="77777777" w:rsidR="00EC4B06" w:rsidRDefault="00EC4B06" w:rsidP="00EC4B06">
            <w:pPr>
              <w:pStyle w:val="Bullet"/>
              <w:numPr>
                <w:ilvl w:val="0"/>
                <w:numId w:val="0"/>
              </w:numPr>
              <w:ind w:left="357" w:hanging="357"/>
            </w:pPr>
          </w:p>
          <w:p w14:paraId="6BABA54F" w14:textId="77777777" w:rsidR="00EC4B06" w:rsidRPr="006F142F" w:rsidRDefault="00EC4B06" w:rsidP="00EC4B06">
            <w:pPr>
              <w:rPr>
                <w:b/>
                <w:color w:val="702F8A"/>
              </w:rPr>
            </w:pPr>
            <w:r>
              <w:rPr>
                <w:b/>
                <w:color w:val="702F8A"/>
              </w:rPr>
              <w:t>4.6. Decontamination</w:t>
            </w:r>
          </w:p>
          <w:p w14:paraId="32F1AB94" w14:textId="1B81F68D" w:rsidR="00EC4B06" w:rsidRPr="006F142F" w:rsidRDefault="00EC4B06" w:rsidP="00EC4B06">
            <w:pPr>
              <w:pStyle w:val="Bullet"/>
            </w:pPr>
            <w:r w:rsidRPr="006F142F">
              <w:t xml:space="preserve">Patient couch and seating </w:t>
            </w:r>
            <w:r>
              <w:t>–</w:t>
            </w:r>
            <w:r w:rsidRPr="006F142F">
              <w:t xml:space="preserve"> must be easy to clean (fluid impermeable material, no </w:t>
            </w:r>
            <w:proofErr w:type="gramStart"/>
            <w:r w:rsidRPr="006F142F">
              <w:t>splits</w:t>
            </w:r>
            <w:proofErr w:type="gramEnd"/>
            <w:r w:rsidRPr="006F142F">
              <w:t xml:space="preserve"> or tears). Fresh blue disposable roll used for each patient. Cleaning protocols to be implemented; wipe the couch with saniti</w:t>
            </w:r>
            <w:r w:rsidR="00612E40">
              <w:t>si</w:t>
            </w:r>
            <w:r w:rsidRPr="006F142F">
              <w:t>ng wipes at start and end of each clinic. Clean with detergent if visibly soiled or used by a known infected patient. It must also tolerate disin</w:t>
            </w:r>
            <w:r w:rsidR="00612E40">
              <w:t>fectants to decontaminate blood-</w:t>
            </w:r>
            <w:r w:rsidRPr="006F142F">
              <w:t xml:space="preserve">stained </w:t>
            </w:r>
            <w:proofErr w:type="gramStart"/>
            <w:r w:rsidRPr="006F142F">
              <w:t>fluids</w:t>
            </w:r>
            <w:proofErr w:type="gramEnd"/>
            <w:r w:rsidRPr="006F142F">
              <w:t xml:space="preserve"> </w:t>
            </w:r>
          </w:p>
          <w:p w14:paraId="7C502B8C" w14:textId="77777777" w:rsidR="00EC4B06" w:rsidRPr="006F142F" w:rsidRDefault="00EC4B06" w:rsidP="00EC4B06">
            <w:pPr>
              <w:pStyle w:val="Bullet"/>
            </w:pPr>
            <w:r w:rsidRPr="006F142F">
              <w:t xml:space="preserve">Dignity blanket </w:t>
            </w:r>
            <w:r>
              <w:t>–</w:t>
            </w:r>
            <w:r w:rsidRPr="006F142F">
              <w:t xml:space="preserve"> provide a single use disposable dignity blanket or machine launder reu</w:t>
            </w:r>
            <w:r>
              <w:t xml:space="preserve">sable linen after each </w:t>
            </w:r>
            <w:proofErr w:type="gramStart"/>
            <w:r>
              <w:t>patient</w:t>
            </w:r>
            <w:proofErr w:type="gramEnd"/>
          </w:p>
          <w:p w14:paraId="2AA39172" w14:textId="77777777" w:rsidR="00EC4B06" w:rsidRPr="006F142F" w:rsidRDefault="00EC4B06" w:rsidP="00EC4B06">
            <w:pPr>
              <w:pStyle w:val="Bullet"/>
            </w:pPr>
            <w:r w:rsidRPr="006F142F">
              <w:t xml:space="preserve">Pillows </w:t>
            </w:r>
            <w:r>
              <w:t>–</w:t>
            </w:r>
            <w:r w:rsidRPr="006F142F">
              <w:t xml:space="preserve"> must be covered to make them impermeable to fluids. Wipe pillow with sanitising wipe at the start and end of each clinic and wash with detergent if visibly soiled. Disposable </w:t>
            </w:r>
            <w:proofErr w:type="gramStart"/>
            <w:r w:rsidRPr="006F142F">
              <w:t>pillow cases</w:t>
            </w:r>
            <w:proofErr w:type="gramEnd"/>
            <w:r w:rsidRPr="006F142F">
              <w:t xml:space="preserve"> rather than linen cases should be used if a pillow case is required </w:t>
            </w:r>
          </w:p>
          <w:p w14:paraId="600F985B" w14:textId="12948310" w:rsidR="00EC4B06" w:rsidRPr="006F142F" w:rsidRDefault="00EC4B06" w:rsidP="00EC4B06">
            <w:pPr>
              <w:pStyle w:val="Bullet"/>
            </w:pPr>
            <w:r w:rsidRPr="006F142F">
              <w:t xml:space="preserve">IT equipment in procedure room </w:t>
            </w:r>
            <w:r>
              <w:t>–</w:t>
            </w:r>
            <w:r w:rsidRPr="006F142F">
              <w:t xml:space="preserve"> a wipeable keyboard should be used. The keyboard shoul</w:t>
            </w:r>
            <w:r w:rsidR="00612E40">
              <w:t>d tolerate wiping with a sanitis</w:t>
            </w:r>
            <w:r w:rsidRPr="006F142F">
              <w:t xml:space="preserve">ing wipe at the beginning and end of each clinic and if obviously </w:t>
            </w:r>
            <w:proofErr w:type="gramStart"/>
            <w:r w:rsidRPr="006F142F">
              <w:t>soiled</w:t>
            </w:r>
            <w:proofErr w:type="gramEnd"/>
            <w:r w:rsidRPr="006F142F">
              <w:t xml:space="preserve"> </w:t>
            </w:r>
          </w:p>
          <w:p w14:paraId="3BA3B698" w14:textId="77777777" w:rsidR="00EC4B06" w:rsidRPr="006F142F" w:rsidRDefault="00EC4B06" w:rsidP="00EC4B06">
            <w:pPr>
              <w:pStyle w:val="Bullet"/>
            </w:pPr>
            <w:r>
              <w:t>R</w:t>
            </w:r>
            <w:r w:rsidRPr="006F142F">
              <w:t xml:space="preserve">oom equipment </w:t>
            </w:r>
            <w:r>
              <w:t>–</w:t>
            </w:r>
            <w:r w:rsidRPr="006F142F">
              <w:t xml:space="preserve"> all other equipment in the room that might have been in contact with the patient´s skin or manipulated with contaminated material (such as gloves during the procedure, markers, trays, tables, etc.) must be appropriately cleaned after each </w:t>
            </w:r>
            <w:proofErr w:type="gramStart"/>
            <w:r w:rsidRPr="006F142F">
              <w:t>procedure</w:t>
            </w:r>
            <w:proofErr w:type="gramEnd"/>
          </w:p>
          <w:p w14:paraId="260589B6" w14:textId="77777777" w:rsidR="00EC4B06" w:rsidRDefault="00EC4B06" w:rsidP="00EC4B06">
            <w:pPr>
              <w:pStyle w:val="Bullet"/>
            </w:pPr>
            <w:r w:rsidRPr="006F142F">
              <w:t xml:space="preserve">Hygiene and infection control </w:t>
            </w:r>
            <w:r>
              <w:t>– u</w:t>
            </w:r>
            <w:r w:rsidRPr="006F142F">
              <w:t xml:space="preserve">se universal infection control precautions including but not limited to; Aseptic No Touch Technique (ANTT), handwashing and appropriate skin preparation to minimise risk of </w:t>
            </w:r>
            <w:proofErr w:type="gramStart"/>
            <w:r w:rsidRPr="006F142F">
              <w:t>infection</w:t>
            </w:r>
            <w:proofErr w:type="gramEnd"/>
            <w:r w:rsidRPr="006F142F">
              <w:t xml:space="preserve"> </w:t>
            </w:r>
          </w:p>
          <w:p w14:paraId="3B2081EA" w14:textId="77777777" w:rsidR="00EC4B06" w:rsidRDefault="00EC4B06" w:rsidP="00EC4B06">
            <w:pPr>
              <w:pStyle w:val="Bullet"/>
            </w:pPr>
            <w:r w:rsidRPr="006F142F">
              <w:t xml:space="preserve">Identify the appropriate Summary of Product Characteristics (SPC) for the chosen drug, to ensure familiarity with the appropriate dose range, reconstitution, needle placement, and injection </w:t>
            </w:r>
            <w:proofErr w:type="gramStart"/>
            <w:r w:rsidRPr="006F142F">
              <w:t>depth</w:t>
            </w:r>
            <w:proofErr w:type="gramEnd"/>
          </w:p>
          <w:p w14:paraId="1B27D879" w14:textId="15A24D9D" w:rsidR="00EC4B06" w:rsidRDefault="00EC4B06" w:rsidP="00EC4B06">
            <w:pPr>
              <w:pStyle w:val="Bullet"/>
              <w:numPr>
                <w:ilvl w:val="0"/>
                <w:numId w:val="0"/>
              </w:numPr>
              <w:ind w:left="357" w:hanging="357"/>
            </w:pPr>
          </w:p>
          <w:p w14:paraId="0E882E45" w14:textId="1B467C91" w:rsidR="00EC4B06" w:rsidRDefault="00EC4B06" w:rsidP="00EC4B06">
            <w:pPr>
              <w:pStyle w:val="Bullet"/>
              <w:numPr>
                <w:ilvl w:val="0"/>
                <w:numId w:val="0"/>
              </w:numPr>
              <w:ind w:left="357" w:hanging="357"/>
            </w:pPr>
          </w:p>
          <w:p w14:paraId="7A257906" w14:textId="39BC7CFC" w:rsidR="00EC4B06" w:rsidRDefault="00EC4B06" w:rsidP="00EC4B06">
            <w:pPr>
              <w:pStyle w:val="Bullet"/>
              <w:numPr>
                <w:ilvl w:val="0"/>
                <w:numId w:val="0"/>
              </w:numPr>
              <w:ind w:left="357" w:hanging="357"/>
            </w:pPr>
          </w:p>
          <w:p w14:paraId="0F139FCC" w14:textId="6E87A25D" w:rsidR="00EC4B06" w:rsidRDefault="00EC4B06" w:rsidP="00EC4B06">
            <w:pPr>
              <w:pStyle w:val="Bullet"/>
              <w:numPr>
                <w:ilvl w:val="0"/>
                <w:numId w:val="0"/>
              </w:numPr>
              <w:ind w:left="357" w:hanging="357"/>
            </w:pPr>
          </w:p>
          <w:p w14:paraId="646CACFD" w14:textId="77777777" w:rsidR="00EC4B06" w:rsidRDefault="00EC4B06" w:rsidP="00EC4B06">
            <w:pPr>
              <w:pStyle w:val="Bullet"/>
              <w:numPr>
                <w:ilvl w:val="0"/>
                <w:numId w:val="0"/>
              </w:numPr>
              <w:ind w:left="357" w:hanging="357"/>
            </w:pPr>
          </w:p>
          <w:p w14:paraId="2FCCD700" w14:textId="77777777" w:rsidR="00EC4B06" w:rsidRPr="006F142F" w:rsidRDefault="00EC4B06" w:rsidP="00EC4B06">
            <w:pPr>
              <w:rPr>
                <w:b/>
                <w:color w:val="702F8A"/>
              </w:rPr>
            </w:pPr>
            <w:r w:rsidRPr="006F142F">
              <w:rPr>
                <w:b/>
                <w:color w:val="702F8A"/>
              </w:rPr>
              <w:lastRenderedPageBreak/>
              <w:t>4.7</w:t>
            </w:r>
            <w:r>
              <w:rPr>
                <w:b/>
                <w:color w:val="702F8A"/>
              </w:rPr>
              <w:t>.</w:t>
            </w:r>
            <w:r w:rsidRPr="006F142F">
              <w:rPr>
                <w:b/>
                <w:color w:val="702F8A"/>
              </w:rPr>
              <w:t xml:space="preserve"> Adverse events, incident reportin</w:t>
            </w:r>
            <w:r>
              <w:rPr>
                <w:b/>
                <w:color w:val="702F8A"/>
              </w:rPr>
              <w:t>g and evaluation of compliance</w:t>
            </w:r>
          </w:p>
          <w:p w14:paraId="6060D66B" w14:textId="77777777" w:rsidR="00EC4B06" w:rsidRPr="006F142F" w:rsidRDefault="00EC4B06" w:rsidP="00EC4B06">
            <w:pPr>
              <w:pStyle w:val="Bullet"/>
            </w:pPr>
            <w:r w:rsidRPr="006F142F">
              <w:t>Importance of having an emergency plan. Responsibility of a practitioner to collect information specific to the procedure. Provision of a central database to help identify outcome trends related to procedures and products, an</w:t>
            </w:r>
            <w:r>
              <w:t xml:space="preserve">d demonstrate outlier </w:t>
            </w:r>
            <w:proofErr w:type="gramStart"/>
            <w:r>
              <w:t>practice</w:t>
            </w:r>
            <w:proofErr w:type="gramEnd"/>
          </w:p>
          <w:p w14:paraId="7E0EA248" w14:textId="77777777" w:rsidR="00EC4B06" w:rsidRPr="006F142F" w:rsidRDefault="00EC4B06" w:rsidP="00EC4B06">
            <w:pPr>
              <w:pStyle w:val="Bullet"/>
            </w:pPr>
            <w:r w:rsidRPr="006F142F">
              <w:t>Knowledge of events reporting associated with medicines and medical devices, made to the M</w:t>
            </w:r>
            <w:r>
              <w:t>HRA via the Yellow Card Scheme</w:t>
            </w:r>
          </w:p>
          <w:p w14:paraId="12749514" w14:textId="77777777" w:rsidR="00EC4B06" w:rsidRPr="006F142F" w:rsidRDefault="00EC4B06" w:rsidP="00EC4B06">
            <w:pPr>
              <w:pStyle w:val="Bullet"/>
            </w:pPr>
            <w:r w:rsidRPr="006F142F">
              <w:t xml:space="preserve">Central Alerting System (CAS) </w:t>
            </w:r>
          </w:p>
          <w:p w14:paraId="1D87C98E" w14:textId="77777777" w:rsidR="00EC4B06" w:rsidRPr="006F142F" w:rsidRDefault="00EC4B06" w:rsidP="00EC4B06">
            <w:pPr>
              <w:pStyle w:val="Bullet"/>
            </w:pPr>
            <w:r w:rsidRPr="006F142F">
              <w:t>Completion of regular, formal and recorded review of currently offered procedures, techniques and e</w:t>
            </w:r>
            <w:r>
              <w:t xml:space="preserve">quipment should be carried </w:t>
            </w:r>
            <w:proofErr w:type="gramStart"/>
            <w:r>
              <w:t>out</w:t>
            </w:r>
            <w:proofErr w:type="gramEnd"/>
          </w:p>
          <w:p w14:paraId="61A53659" w14:textId="15CFF9A1" w:rsidR="00EC4B06" w:rsidRDefault="00EC4B06" w:rsidP="00EC4B06">
            <w:pPr>
              <w:pStyle w:val="Bullet"/>
            </w:pPr>
            <w:r w:rsidRPr="006F142F">
              <w:t>If procedures are discontinued the practitioner a</w:t>
            </w:r>
            <w:r w:rsidR="00612E40">
              <w:t>nd/or provider is responsible for</w:t>
            </w:r>
            <w:r w:rsidRPr="006F142F">
              <w:t xml:space="preserve"> notify</w:t>
            </w:r>
            <w:r w:rsidR="00612E40">
              <w:t>ing</w:t>
            </w:r>
            <w:r w:rsidRPr="006F142F">
              <w:t xml:space="preserve"> new patients r</w:t>
            </w:r>
            <w:r>
              <w:t>equesting a specific procedure</w:t>
            </w:r>
          </w:p>
          <w:p w14:paraId="6A33BBDB" w14:textId="77777777" w:rsidR="00EC4B06" w:rsidRDefault="00EC4B06" w:rsidP="00EC4B06">
            <w:pPr>
              <w:pStyle w:val="Bullet"/>
            </w:pPr>
            <w:r w:rsidRPr="006F142F">
              <w:t>Periodic evaluation of legal changes, regulatory requirements and best practice should take place. This sh</w:t>
            </w:r>
            <w:r>
              <w:t xml:space="preserve">ould be recorded and </w:t>
            </w:r>
            <w:proofErr w:type="gramStart"/>
            <w:r>
              <w:t>documented</w:t>
            </w:r>
            <w:proofErr w:type="gramEnd"/>
          </w:p>
          <w:p w14:paraId="0C504981" w14:textId="77777777" w:rsidR="00EC4B06" w:rsidRDefault="00EC4B06" w:rsidP="00EC4B06">
            <w:pPr>
              <w:pStyle w:val="Bullet"/>
              <w:numPr>
                <w:ilvl w:val="0"/>
                <w:numId w:val="0"/>
              </w:numPr>
              <w:ind w:left="357" w:hanging="357"/>
            </w:pPr>
          </w:p>
          <w:p w14:paraId="7C59F0DE" w14:textId="77777777" w:rsidR="00EC4B06" w:rsidRDefault="00EC4B06" w:rsidP="00EC4B06">
            <w:pPr>
              <w:rPr>
                <w:b/>
                <w:color w:val="702F8A"/>
              </w:rPr>
            </w:pPr>
            <w:r w:rsidRPr="00E04086">
              <w:rPr>
                <w:b/>
                <w:color w:val="702F8A"/>
              </w:rPr>
              <w:t>4.8</w:t>
            </w:r>
            <w:r>
              <w:rPr>
                <w:b/>
                <w:color w:val="702F8A"/>
              </w:rPr>
              <w:t>.</w:t>
            </w:r>
            <w:r w:rsidRPr="00E04086">
              <w:rPr>
                <w:b/>
                <w:color w:val="702F8A"/>
              </w:rPr>
              <w:t xml:space="preserve"> Causes and e</w:t>
            </w:r>
            <w:r>
              <w:rPr>
                <w:b/>
                <w:color w:val="702F8A"/>
              </w:rPr>
              <w:t xml:space="preserve">ffects of needle-stick </w:t>
            </w:r>
            <w:proofErr w:type="gramStart"/>
            <w:r>
              <w:rPr>
                <w:b/>
                <w:color w:val="702F8A"/>
              </w:rPr>
              <w:t>injuries</w:t>
            </w:r>
            <w:r w:rsidRPr="00E04086">
              <w:rPr>
                <w:b/>
                <w:color w:val="702F8A"/>
                <w:vertAlign w:val="superscript"/>
              </w:rPr>
              <w:t>(</w:t>
            </w:r>
            <w:proofErr w:type="gramEnd"/>
            <w:r w:rsidRPr="00E04086">
              <w:rPr>
                <w:b/>
                <w:color w:val="702F8A"/>
                <w:vertAlign w:val="superscript"/>
              </w:rPr>
              <w:t>2)</w:t>
            </w:r>
            <w:r w:rsidRPr="00E04086">
              <w:rPr>
                <w:b/>
                <w:color w:val="702F8A"/>
              </w:rPr>
              <w:t xml:space="preserve"> </w:t>
            </w:r>
          </w:p>
          <w:p w14:paraId="0CF3BFEE" w14:textId="5A6BF34F" w:rsidR="00EC4B06" w:rsidRDefault="00EC4B06" w:rsidP="00EC4B06">
            <w:pPr>
              <w:pStyle w:val="Bullet"/>
            </w:pPr>
            <w:r w:rsidRPr="00E04086">
              <w:t xml:space="preserve">Risks posed through lack of PPE and unsafe clinical environment, effects </w:t>
            </w:r>
            <w:proofErr w:type="gramStart"/>
            <w:r w:rsidRPr="00E04086">
              <w:t>include;</w:t>
            </w:r>
            <w:proofErr w:type="gramEnd"/>
            <w:r w:rsidRPr="00E04086">
              <w:t xml:space="preserve"> psychological and pathogenic, </w:t>
            </w:r>
            <w:r w:rsidR="00D150FB">
              <w:t>d</w:t>
            </w:r>
            <w:r w:rsidRPr="00E04086">
              <w:t xml:space="preserve">ispose of all used equipment safely and appropriately following relevant guidance </w:t>
            </w:r>
          </w:p>
          <w:p w14:paraId="3F3386D7" w14:textId="77777777" w:rsidR="00EC4B06" w:rsidRDefault="00EC4B06" w:rsidP="00EC4B06">
            <w:pPr>
              <w:pStyle w:val="Bullet"/>
            </w:pPr>
            <w:r w:rsidRPr="00E04086">
              <w:t xml:space="preserve">Manage needle-stick injuries in line with national and CPSA </w:t>
            </w:r>
            <w:proofErr w:type="gramStart"/>
            <w:r w:rsidRPr="00E04086">
              <w:t>guidance</w:t>
            </w:r>
            <w:proofErr w:type="gramEnd"/>
          </w:p>
          <w:p w14:paraId="41CD75C2" w14:textId="17B1C3AB" w:rsidR="00EC4B06" w:rsidRDefault="00893449" w:rsidP="00EC4B06">
            <w:pPr>
              <w:pStyle w:val="Bullet"/>
              <w:rPr>
                <w:rStyle w:val="BulletChar"/>
              </w:rPr>
            </w:pPr>
            <w:r>
              <w:rPr>
                <w:rStyle w:val="BulletChar"/>
              </w:rPr>
              <w:t>C</w:t>
            </w:r>
            <w:r w:rsidR="00EC4B06" w:rsidRPr="00EC4B06">
              <w:rPr>
                <w:rStyle w:val="BulletChar"/>
              </w:rPr>
              <w:t>ommunication</w:t>
            </w:r>
            <w:r w:rsidR="00EC4B06" w:rsidRPr="00E04086">
              <w:rPr>
                <w:rStyle w:val="BulletChar"/>
              </w:rPr>
              <w:t xml:space="preserve"> with patient, post-exposure prophylaxis, blood test for transmissible pathogens, document and report the injury, onward r</w:t>
            </w:r>
            <w:r w:rsidR="00EC4B06">
              <w:rPr>
                <w:rStyle w:val="BulletChar"/>
              </w:rPr>
              <w:t>eferral (if appropriate), post-</w:t>
            </w:r>
            <w:r w:rsidR="00EC4B06" w:rsidRPr="00E04086">
              <w:rPr>
                <w:rStyle w:val="BulletChar"/>
              </w:rPr>
              <w:t xml:space="preserve">incident debriefing and reflective practice – request blood from </w:t>
            </w:r>
            <w:proofErr w:type="gramStart"/>
            <w:r w:rsidR="00EC4B06" w:rsidRPr="00E04086">
              <w:rPr>
                <w:rStyle w:val="BulletChar"/>
              </w:rPr>
              <w:t>patient</w:t>
            </w:r>
            <w:proofErr w:type="gramEnd"/>
          </w:p>
          <w:p w14:paraId="7383BC9A" w14:textId="77777777" w:rsidR="00EC4B06" w:rsidRDefault="00EC4B06" w:rsidP="00EC4B06">
            <w:pPr>
              <w:pStyle w:val="Bullet"/>
              <w:numPr>
                <w:ilvl w:val="0"/>
                <w:numId w:val="0"/>
              </w:numPr>
              <w:ind w:left="357" w:hanging="357"/>
              <w:rPr>
                <w:rStyle w:val="BulletChar"/>
              </w:rPr>
            </w:pPr>
          </w:p>
          <w:p w14:paraId="1945C096" w14:textId="7FA861B2" w:rsidR="00EC4B06" w:rsidRPr="00E04086" w:rsidRDefault="00893449" w:rsidP="00EC4B06">
            <w:pPr>
              <w:rPr>
                <w:b/>
                <w:color w:val="702F8A"/>
              </w:rPr>
            </w:pPr>
            <w:r>
              <w:rPr>
                <w:b/>
                <w:color w:val="702F8A"/>
              </w:rPr>
              <w:t>4.9</w:t>
            </w:r>
            <w:r w:rsidR="00EC4B06">
              <w:rPr>
                <w:b/>
                <w:color w:val="702F8A"/>
              </w:rPr>
              <w:t>.</w:t>
            </w:r>
            <w:r w:rsidR="00EC4B06" w:rsidRPr="00E04086">
              <w:rPr>
                <w:b/>
                <w:color w:val="702F8A"/>
              </w:rPr>
              <w:t xml:space="preserve"> A</w:t>
            </w:r>
            <w:r w:rsidR="00EC4B06">
              <w:rPr>
                <w:b/>
                <w:color w:val="702F8A"/>
              </w:rPr>
              <w:t>naphylaxis response management</w:t>
            </w:r>
          </w:p>
          <w:p w14:paraId="23F9FC8C" w14:textId="77777777" w:rsidR="00EC4B06" w:rsidRPr="00E04086" w:rsidRDefault="00EC4B06" w:rsidP="00EC4B06">
            <w:pPr>
              <w:pStyle w:val="Bullet"/>
            </w:pPr>
            <w:r w:rsidRPr="00E04086">
              <w:t>The recognition and treatment of anaphylaxis must be integrated into</w:t>
            </w:r>
            <w:r>
              <w:t xml:space="preserve"> all modality training </w:t>
            </w:r>
            <w:proofErr w:type="gramStart"/>
            <w:r>
              <w:t>pathways</w:t>
            </w:r>
            <w:proofErr w:type="gramEnd"/>
            <w:r w:rsidRPr="00E04086">
              <w:t xml:space="preserve"> </w:t>
            </w:r>
          </w:p>
          <w:p w14:paraId="485A429D" w14:textId="7A61F73C" w:rsidR="00EC4B06" w:rsidRPr="00E04086" w:rsidRDefault="00EC4B06" w:rsidP="00EC4B06">
            <w:pPr>
              <w:pStyle w:val="Bullet"/>
            </w:pPr>
            <w:r w:rsidRPr="00E04086">
              <w:t>Emergency medicine and equipment must be regularly checked and recorded to be functioning and in-date. A pr</w:t>
            </w:r>
            <w:r>
              <w:t>actitioner must have access to</w:t>
            </w:r>
            <w:r w:rsidR="00D150FB">
              <w:t>:</w:t>
            </w:r>
          </w:p>
          <w:p w14:paraId="49BA68A0" w14:textId="77777777" w:rsidR="00EC4B06" w:rsidRPr="00E04086" w:rsidRDefault="00EC4B06" w:rsidP="00EC4B06">
            <w:pPr>
              <w:pStyle w:val="Bullet2"/>
            </w:pPr>
            <w:r w:rsidRPr="00E04086">
              <w:t xml:space="preserve">Maintained oxygen supply and a </w:t>
            </w:r>
            <w:proofErr w:type="gramStart"/>
            <w:r w:rsidRPr="00E04086">
              <w:t>mask</w:t>
            </w:r>
            <w:proofErr w:type="gramEnd"/>
            <w:r w:rsidRPr="00E04086">
              <w:t xml:space="preserve"> </w:t>
            </w:r>
          </w:p>
          <w:p w14:paraId="0F4C8D5B" w14:textId="77777777" w:rsidR="00EC4B06" w:rsidRPr="00E04086" w:rsidRDefault="00EC4B06" w:rsidP="00EC4B06">
            <w:pPr>
              <w:pStyle w:val="Bullet2"/>
            </w:pPr>
            <w:r w:rsidRPr="00E04086">
              <w:t xml:space="preserve">Adrenaline auto injector for intramuscular injection </w:t>
            </w:r>
          </w:p>
          <w:p w14:paraId="06D79DA0" w14:textId="77777777" w:rsidR="00EC4B06" w:rsidRPr="00E04086" w:rsidRDefault="00EC4B06" w:rsidP="00EC4B06">
            <w:pPr>
              <w:pStyle w:val="Bullet2"/>
            </w:pPr>
            <w:r w:rsidRPr="00E04086">
              <w:t xml:space="preserve">The anaphylaxis treatment algorithm (Resuscitation Council or equivalent) </w:t>
            </w:r>
          </w:p>
          <w:p w14:paraId="18C6B421" w14:textId="77777777" w:rsidR="00EC4B06" w:rsidRPr="00E04086" w:rsidRDefault="00EC4B06" w:rsidP="00EC4B06">
            <w:pPr>
              <w:pStyle w:val="Bullet2"/>
            </w:pPr>
            <w:r w:rsidRPr="00E04086">
              <w:t>Any other emergency medicine deemed approp</w:t>
            </w:r>
            <w:r>
              <w:t xml:space="preserve">riate based on risk </w:t>
            </w:r>
            <w:proofErr w:type="gramStart"/>
            <w:r>
              <w:t>assessment</w:t>
            </w:r>
            <w:proofErr w:type="gramEnd"/>
            <w:r>
              <w:t xml:space="preserve"> </w:t>
            </w:r>
          </w:p>
          <w:p w14:paraId="19F927E3" w14:textId="1B56BB53" w:rsidR="00EC4B06" w:rsidRPr="00E04086" w:rsidRDefault="00EC4B06" w:rsidP="00EC4B06">
            <w:pPr>
              <w:pStyle w:val="Bullet"/>
            </w:pPr>
            <w:r w:rsidRPr="00E04086">
              <w:t xml:space="preserve">Recognise and treat </w:t>
            </w:r>
            <w:r>
              <w:t>anaphylactic shock. Be able to</w:t>
            </w:r>
            <w:r w:rsidR="00D150FB">
              <w:t>:</w:t>
            </w:r>
          </w:p>
          <w:p w14:paraId="067BF766" w14:textId="77777777" w:rsidR="00EC4B06" w:rsidRPr="00E04086" w:rsidRDefault="00EC4B06" w:rsidP="00EC4B06">
            <w:pPr>
              <w:pStyle w:val="Bullet2"/>
            </w:pPr>
            <w:r w:rsidRPr="00E04086">
              <w:t xml:space="preserve">Position patient appropriately </w:t>
            </w:r>
          </w:p>
          <w:p w14:paraId="74E6D2C7" w14:textId="77777777" w:rsidR="00EC4B06" w:rsidRDefault="00EC4B06" w:rsidP="00EC4B06">
            <w:pPr>
              <w:pStyle w:val="Bullet2"/>
            </w:pPr>
            <w:r w:rsidRPr="00E04086">
              <w:t xml:space="preserve">Administer intramuscular injection (using an auto injector) of adrenaline 500 micrograms 1:1000 </w:t>
            </w:r>
            <w:proofErr w:type="gramStart"/>
            <w:r w:rsidRPr="00E04086">
              <w:t>concentration</w:t>
            </w:r>
            <w:proofErr w:type="gramEnd"/>
            <w:r w:rsidRPr="00E04086">
              <w:t xml:space="preserve"> </w:t>
            </w:r>
          </w:p>
          <w:p w14:paraId="247574F9" w14:textId="77777777" w:rsidR="00EC4B06" w:rsidRDefault="00EC4B06" w:rsidP="00EC4B06">
            <w:pPr>
              <w:pStyle w:val="Bullet2"/>
            </w:pPr>
            <w:r w:rsidRPr="00E04086">
              <w:t xml:space="preserve">Administer </w:t>
            </w:r>
            <w:proofErr w:type="gramStart"/>
            <w:r w:rsidRPr="00E04086">
              <w:t>oxygen</w:t>
            </w:r>
            <w:proofErr w:type="gramEnd"/>
          </w:p>
          <w:p w14:paraId="74FD660F" w14:textId="264E73C1" w:rsidR="00EC4B06" w:rsidRDefault="00EC4B06" w:rsidP="00EC4B06"/>
          <w:p w14:paraId="0B2CCDC2" w14:textId="27F050AB" w:rsidR="00EC4B06" w:rsidRPr="00E04086" w:rsidRDefault="00893449" w:rsidP="00EC4B06">
            <w:pPr>
              <w:rPr>
                <w:b/>
                <w:color w:val="702F8A"/>
              </w:rPr>
            </w:pPr>
            <w:r>
              <w:rPr>
                <w:b/>
                <w:color w:val="702F8A"/>
              </w:rPr>
              <w:t>4.10</w:t>
            </w:r>
            <w:r w:rsidR="00EC4B06">
              <w:rPr>
                <w:b/>
                <w:color w:val="702F8A"/>
              </w:rPr>
              <w:t>.</w:t>
            </w:r>
            <w:r w:rsidR="00EC4B06" w:rsidRPr="00E04086">
              <w:rPr>
                <w:b/>
                <w:color w:val="702F8A"/>
              </w:rPr>
              <w:t xml:space="preserve"> Anaesthetics  </w:t>
            </w:r>
          </w:p>
          <w:p w14:paraId="2ABB7C9F" w14:textId="50DE489E" w:rsidR="00EC4B06" w:rsidRDefault="00EC4B06" w:rsidP="00EC4B06">
            <w:pPr>
              <w:pStyle w:val="Bullet"/>
            </w:pPr>
            <w:r w:rsidRPr="00E04086">
              <w:t>How to source, store and administer local and topical anaesthesia to the treatment area, how to recognise the main adverse events associated with this type of anaesthesia (anaphylaxis, toxicity, etc.) and how to treat them accordingly</w:t>
            </w:r>
          </w:p>
          <w:p w14:paraId="4EB74495" w14:textId="30DB24E8" w:rsidR="00EC4B06" w:rsidRDefault="00EC4B06" w:rsidP="00EC4B06"/>
          <w:p w14:paraId="6223B5CA" w14:textId="070C40F7" w:rsidR="00B87999" w:rsidRDefault="00B87999" w:rsidP="00EC4B06"/>
          <w:p w14:paraId="7C25060A" w14:textId="4E800740" w:rsidR="00B87999" w:rsidRDefault="00B87999" w:rsidP="00EC4B06"/>
          <w:p w14:paraId="20A30D7A" w14:textId="4CC32802" w:rsidR="00B87999" w:rsidRDefault="00B87999" w:rsidP="00EC4B06"/>
          <w:p w14:paraId="75E2AE56" w14:textId="0D28919E" w:rsidR="00B87999" w:rsidRDefault="00B87999" w:rsidP="00EC4B06"/>
          <w:p w14:paraId="68671C09" w14:textId="5485D39E" w:rsidR="00B87999" w:rsidRDefault="00B87999" w:rsidP="00EC4B06"/>
          <w:p w14:paraId="2D143B94" w14:textId="77777777" w:rsidR="00B87999" w:rsidRDefault="00B87999" w:rsidP="00EC4B06"/>
          <w:p w14:paraId="7117E0E0" w14:textId="238D434D" w:rsidR="00EC4B06" w:rsidRDefault="00893449" w:rsidP="00EC4B06">
            <w:pPr>
              <w:rPr>
                <w:b/>
                <w:color w:val="702F8A"/>
              </w:rPr>
            </w:pPr>
            <w:r>
              <w:rPr>
                <w:b/>
                <w:color w:val="702F8A"/>
              </w:rPr>
              <w:lastRenderedPageBreak/>
              <w:t>4.11</w:t>
            </w:r>
            <w:r w:rsidR="00EC4B06">
              <w:rPr>
                <w:b/>
                <w:color w:val="702F8A"/>
              </w:rPr>
              <w:t>. Vas</w:t>
            </w:r>
            <w:r w:rsidR="00EC4B06" w:rsidRPr="00384E65">
              <w:rPr>
                <w:b/>
                <w:color w:val="702F8A"/>
              </w:rPr>
              <w:t>ova</w:t>
            </w:r>
            <w:r w:rsidR="00EC4B06">
              <w:rPr>
                <w:b/>
                <w:color w:val="702F8A"/>
              </w:rPr>
              <w:t>gal response management</w:t>
            </w:r>
          </w:p>
          <w:p w14:paraId="3C1AE9EF" w14:textId="25D4910A" w:rsidR="00EC4B06" w:rsidRPr="00E04086" w:rsidRDefault="00EC4B06" w:rsidP="00EC4B06">
            <w:pPr>
              <w:pStyle w:val="Bullet"/>
            </w:pPr>
            <w:r w:rsidRPr="00E04086">
              <w:t xml:space="preserve">Communication with patient, patient repositioning, </w:t>
            </w:r>
            <w:proofErr w:type="gramStart"/>
            <w:r w:rsidRPr="00E04086">
              <w:t>hydration</w:t>
            </w:r>
            <w:proofErr w:type="gramEnd"/>
            <w:r w:rsidRPr="00E04086">
              <w:t xml:space="preserve"> and o</w:t>
            </w:r>
            <w:r>
              <w:t xml:space="preserve">nward referral </w:t>
            </w:r>
            <w:r w:rsidR="00D150FB">
              <w:br/>
            </w:r>
            <w:r>
              <w:t>(if appropriate)</w:t>
            </w:r>
            <w:r w:rsidRPr="00E04086">
              <w:t xml:space="preserve"> </w:t>
            </w:r>
          </w:p>
          <w:p w14:paraId="49D08042" w14:textId="77777777" w:rsidR="00EC4B06" w:rsidRDefault="00EC4B06" w:rsidP="00EC4B06">
            <w:pPr>
              <w:pStyle w:val="Bullet"/>
            </w:pPr>
            <w:r w:rsidRPr="00E04086">
              <w:t>S</w:t>
            </w:r>
            <w:r>
              <w:t>ymptoms of vasovagal response: s</w:t>
            </w:r>
            <w:r w:rsidRPr="00E04086">
              <w:t>yncopal episode, nausea, loss of bladder control</w:t>
            </w:r>
            <w:r>
              <w:t>, tunnel vision and clamminess</w:t>
            </w:r>
          </w:p>
          <w:p w14:paraId="1F7D91EA" w14:textId="5E5F3117" w:rsidR="00EC4B06" w:rsidRDefault="00EC4B06" w:rsidP="00EC4B06">
            <w:pPr>
              <w:pStyle w:val="Bullet"/>
            </w:pPr>
            <w:r>
              <w:t>Emergency medication k</w:t>
            </w:r>
            <w:r w:rsidRPr="00E04086">
              <w:t>it f</w:t>
            </w:r>
            <w:r w:rsidR="00D150FB">
              <w:t xml:space="preserve">or the management of aesthetic </w:t>
            </w:r>
            <w:r w:rsidRPr="00E04086">
              <w:t xml:space="preserve">complications including </w:t>
            </w:r>
            <w:proofErr w:type="gramStart"/>
            <w:r w:rsidRPr="00E04086">
              <w:t>evidence based</w:t>
            </w:r>
            <w:proofErr w:type="gramEnd"/>
            <w:r w:rsidRPr="00E04086">
              <w:t xml:space="preserve"> protocols</w:t>
            </w:r>
          </w:p>
        </w:tc>
      </w:tr>
      <w:tr w:rsidR="00C124EB" w14:paraId="68B6CB04" w14:textId="77777777" w:rsidTr="00D150FB">
        <w:trPr>
          <w:trHeight w:val="1438"/>
        </w:trPr>
        <w:tc>
          <w:tcPr>
            <w:tcW w:w="5000" w:type="pct"/>
            <w:tcMar>
              <w:top w:w="57" w:type="dxa"/>
              <w:bottom w:w="57" w:type="dxa"/>
            </w:tcMar>
          </w:tcPr>
          <w:p w14:paraId="0C45DFC2" w14:textId="77777777" w:rsidR="00C124EB" w:rsidRPr="00DB68C7" w:rsidRDefault="00C124EB" w:rsidP="007B6DFD">
            <w:pPr>
              <w:pStyle w:val="Default"/>
              <w:rPr>
                <w:rFonts w:asciiTheme="minorHAnsi" w:hAnsiTheme="minorHAnsi" w:cstheme="minorHAnsi"/>
                <w:b/>
                <w:bCs/>
                <w:color w:val="702F8A"/>
                <w:sz w:val="22"/>
                <w:szCs w:val="22"/>
              </w:rPr>
            </w:pPr>
            <w:r w:rsidRPr="00DB68C7">
              <w:rPr>
                <w:rFonts w:asciiTheme="minorHAnsi" w:hAnsiTheme="minorHAnsi" w:cstheme="minorHAnsi"/>
                <w:b/>
                <w:bCs/>
                <w:color w:val="702F8A"/>
                <w:sz w:val="22"/>
                <w:szCs w:val="22"/>
              </w:rPr>
              <w:lastRenderedPageBreak/>
              <w:t>References</w:t>
            </w:r>
          </w:p>
          <w:p w14:paraId="282D864E" w14:textId="77777777" w:rsidR="00C124EB" w:rsidRDefault="00C124EB" w:rsidP="00996239">
            <w:pPr>
              <w:pStyle w:val="Bullet"/>
            </w:pPr>
            <w:r w:rsidRPr="00DB68C7">
              <w:rPr>
                <w:vertAlign w:val="superscript"/>
              </w:rPr>
              <w:t>(1)</w:t>
            </w:r>
            <w:r w:rsidRPr="00DB68C7">
              <w:t xml:space="preserve"> Classify different types of waste. </w:t>
            </w:r>
            <w:hyperlink r:id="rId10" w:history="1">
              <w:r w:rsidRPr="00AE328B">
                <w:rPr>
                  <w:rStyle w:val="Hyperlink"/>
                </w:rPr>
                <w:t>https://www.gov.uk/how-to-classify-different-types-of-waste/healthcare-and-related-wastes</w:t>
              </w:r>
            </w:hyperlink>
            <w:r>
              <w:t xml:space="preserve"> </w:t>
            </w:r>
          </w:p>
          <w:p w14:paraId="70863BF3" w14:textId="70A5EACC" w:rsidR="00C124EB" w:rsidRDefault="00C124EB" w:rsidP="00996239">
            <w:pPr>
              <w:pStyle w:val="Bullet"/>
            </w:pPr>
            <w:r w:rsidRPr="00C124EB">
              <w:rPr>
                <w:vertAlign w:val="superscript"/>
              </w:rPr>
              <w:t>(2)</w:t>
            </w:r>
            <w:r>
              <w:t xml:space="preserve"> </w:t>
            </w:r>
            <w:r w:rsidRPr="00997E9E">
              <w:t xml:space="preserve">Health and Safety (Sharp Instruments in Healthcare) Regulations 2013. </w:t>
            </w:r>
            <w:hyperlink r:id="rId11" w:history="1">
              <w:r w:rsidRPr="00AE328B">
                <w:rPr>
                  <w:rStyle w:val="Hyperlink"/>
                </w:rPr>
                <w:t>http://www.hse.gov.uk/pubns/hsis7.htm</w:t>
              </w:r>
            </w:hyperlink>
            <w:r>
              <w:t xml:space="preserve">  </w:t>
            </w:r>
          </w:p>
        </w:tc>
      </w:tr>
    </w:tbl>
    <w:p w14:paraId="7701FA29" w14:textId="3BA4FD34" w:rsidR="003C2EAB" w:rsidRDefault="003C2EAB">
      <w:pPr>
        <w:spacing w:line="259" w:lineRule="auto"/>
        <w:rPr>
          <w:highlight w:val="yellow"/>
        </w:rPr>
      </w:pPr>
    </w:p>
    <w:p w14:paraId="4392833E" w14:textId="0046960E" w:rsidR="003C2EAB" w:rsidRDefault="003C2EAB">
      <w:pPr>
        <w:spacing w:line="259" w:lineRule="auto"/>
        <w:rPr>
          <w:highlight w:val="yellow"/>
        </w:rPr>
      </w:pPr>
    </w:p>
    <w:p w14:paraId="2EF7441F" w14:textId="613E3D69" w:rsidR="003C2EAB" w:rsidRDefault="003C2EAB">
      <w:pPr>
        <w:spacing w:line="259" w:lineRule="auto"/>
        <w:rPr>
          <w:highlight w:val="yellow"/>
        </w:rPr>
      </w:pPr>
    </w:p>
    <w:p w14:paraId="2BC6E26D" w14:textId="68D5730C" w:rsidR="003C2EAB" w:rsidRDefault="003C2EAB">
      <w:pPr>
        <w:spacing w:line="259" w:lineRule="auto"/>
        <w:rPr>
          <w:highlight w:val="yellow"/>
        </w:rPr>
      </w:pPr>
    </w:p>
    <w:p w14:paraId="5FAB77E9" w14:textId="700AE0D7" w:rsidR="003C2EAB" w:rsidRDefault="003C2EAB">
      <w:pPr>
        <w:spacing w:line="259" w:lineRule="auto"/>
        <w:rPr>
          <w:highlight w:val="yellow"/>
        </w:rPr>
      </w:pPr>
    </w:p>
    <w:p w14:paraId="6C607863" w14:textId="4716CB92" w:rsidR="003C2EAB" w:rsidRDefault="003C2EAB">
      <w:pPr>
        <w:spacing w:line="259" w:lineRule="auto"/>
        <w:rPr>
          <w:highlight w:val="yellow"/>
        </w:rPr>
      </w:pPr>
    </w:p>
    <w:p w14:paraId="508C7096" w14:textId="7F4F9DE7" w:rsidR="003C2EAB" w:rsidRDefault="003C2EAB">
      <w:pPr>
        <w:spacing w:line="259" w:lineRule="auto"/>
        <w:rPr>
          <w:highlight w:val="yellow"/>
        </w:rPr>
      </w:pPr>
    </w:p>
    <w:p w14:paraId="2C69AC38" w14:textId="264FE17E" w:rsidR="003C2EAB" w:rsidRDefault="003C2EAB">
      <w:pPr>
        <w:spacing w:line="259" w:lineRule="auto"/>
        <w:rPr>
          <w:highlight w:val="yellow"/>
        </w:rPr>
      </w:pPr>
    </w:p>
    <w:p w14:paraId="618A7816" w14:textId="380B1602" w:rsidR="003C2EAB" w:rsidRDefault="003C2EAB">
      <w:pPr>
        <w:spacing w:line="259" w:lineRule="auto"/>
        <w:rPr>
          <w:highlight w:val="yellow"/>
        </w:rPr>
      </w:pPr>
    </w:p>
    <w:p w14:paraId="1C581E80" w14:textId="19031FD3" w:rsidR="003C2EAB" w:rsidRDefault="003C2EAB">
      <w:pPr>
        <w:spacing w:line="259" w:lineRule="auto"/>
        <w:rPr>
          <w:highlight w:val="yellow"/>
        </w:rPr>
      </w:pPr>
    </w:p>
    <w:p w14:paraId="27E89DE6" w14:textId="4DF19BAC" w:rsidR="003C2EAB" w:rsidRDefault="003C2EAB">
      <w:pPr>
        <w:spacing w:line="259" w:lineRule="auto"/>
        <w:rPr>
          <w:highlight w:val="yellow"/>
        </w:rPr>
      </w:pPr>
    </w:p>
    <w:p w14:paraId="48EDEFB3" w14:textId="02A19EBD" w:rsidR="003C2EAB" w:rsidRDefault="003C2EAB">
      <w:pPr>
        <w:spacing w:line="259" w:lineRule="auto"/>
        <w:rPr>
          <w:highlight w:val="yellow"/>
        </w:rPr>
      </w:pPr>
    </w:p>
    <w:p w14:paraId="0D537847" w14:textId="254158C4" w:rsidR="003C2EAB" w:rsidRDefault="003C2EAB">
      <w:pPr>
        <w:spacing w:line="259" w:lineRule="auto"/>
        <w:rPr>
          <w:highlight w:val="yellow"/>
        </w:rPr>
      </w:pPr>
    </w:p>
    <w:p w14:paraId="56F72DF8" w14:textId="7051B906" w:rsidR="003C2EAB" w:rsidRDefault="003C2EAB">
      <w:pPr>
        <w:spacing w:line="259" w:lineRule="auto"/>
        <w:rPr>
          <w:highlight w:val="yellow"/>
        </w:rPr>
      </w:pPr>
    </w:p>
    <w:p w14:paraId="0A33FBFE" w14:textId="12F1C4F0" w:rsidR="003C2EAB" w:rsidRDefault="003C2EAB">
      <w:pPr>
        <w:spacing w:line="259" w:lineRule="auto"/>
        <w:rPr>
          <w:highlight w:val="yellow"/>
        </w:rPr>
      </w:pPr>
    </w:p>
    <w:p w14:paraId="601CEB1A" w14:textId="7F7652DA" w:rsidR="003C2EAB" w:rsidRDefault="003C2EAB">
      <w:pPr>
        <w:spacing w:line="259" w:lineRule="auto"/>
        <w:rPr>
          <w:highlight w:val="yellow"/>
        </w:rPr>
      </w:pPr>
    </w:p>
    <w:p w14:paraId="7955807C" w14:textId="3777383F" w:rsidR="003C2EAB" w:rsidRDefault="003C2EAB">
      <w:pPr>
        <w:spacing w:line="259" w:lineRule="auto"/>
        <w:rPr>
          <w:highlight w:val="yellow"/>
        </w:rPr>
      </w:pPr>
    </w:p>
    <w:p w14:paraId="20395A52" w14:textId="77777777" w:rsidR="003C2EAB" w:rsidRDefault="003C2EAB">
      <w:pPr>
        <w:spacing w:line="259" w:lineRule="auto"/>
        <w:rPr>
          <w:highlight w:val="yellow"/>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16"/>
      </w:tblGrid>
      <w:tr w:rsidR="003C2EAB" w:rsidRPr="007F0350" w14:paraId="5E759B94" w14:textId="77777777" w:rsidTr="00B165C4">
        <w:tc>
          <w:tcPr>
            <w:tcW w:w="9016" w:type="dxa"/>
            <w:shd w:val="clear" w:color="auto" w:fill="EFDFF5"/>
            <w:tcMar>
              <w:top w:w="57" w:type="dxa"/>
              <w:bottom w:w="57" w:type="dxa"/>
            </w:tcMar>
            <w:vAlign w:val="center"/>
          </w:tcPr>
          <w:p w14:paraId="27C22797" w14:textId="77777777" w:rsidR="003C2EAB" w:rsidRPr="0087609D" w:rsidRDefault="003C2EAB" w:rsidP="00B165C4">
            <w:pPr>
              <w:pStyle w:val="Boldstatement"/>
              <w:spacing w:before="20" w:after="20"/>
              <w:rPr>
                <w:sz w:val="24"/>
              </w:rPr>
            </w:pPr>
            <w:r w:rsidRPr="004A4BFE">
              <w:rPr>
                <w:sz w:val="24"/>
              </w:rPr>
              <w:t>Guide to taught content</w:t>
            </w:r>
          </w:p>
        </w:tc>
      </w:tr>
      <w:tr w:rsidR="003C2EAB" w14:paraId="4E343864" w14:textId="77777777" w:rsidTr="00B165C4">
        <w:tc>
          <w:tcPr>
            <w:tcW w:w="9016" w:type="dxa"/>
            <w:tcMar>
              <w:top w:w="57" w:type="dxa"/>
              <w:bottom w:w="57" w:type="dxa"/>
            </w:tcMar>
          </w:tcPr>
          <w:p w14:paraId="60DE60CB" w14:textId="0E11CBE4" w:rsidR="003C2EAB" w:rsidRDefault="003C2EAB" w:rsidP="00AB3767">
            <w:r w:rsidRPr="004A4BFE">
              <w:t xml:space="preserve">The content contained within the unit specification is not prescriptive or exhaustive but is intended to provide helpful guidance to teachers and learners with the key areas that </w:t>
            </w:r>
            <w:r>
              <w:t>will be covered within the unit and</w:t>
            </w:r>
            <w:r w:rsidRPr="004A4BFE">
              <w:t xml:space="preserve"> relating </w:t>
            </w:r>
            <w:r w:rsidRPr="00876801">
              <w:t>to the kinds of evidence that should be provided for each assessment objective specific to the unit learning outcomes.</w:t>
            </w:r>
            <w:r w:rsidR="00AB3767" w:rsidRPr="00876801">
              <w:t xml:space="preserve"> It is the Centre’s responsibility to ensure the most recent version of a legislative act is referred to during delivery of this subject.</w:t>
            </w:r>
            <w:r w:rsidR="00AB3767">
              <w:t xml:space="preserve"> </w:t>
            </w:r>
          </w:p>
        </w:tc>
      </w:tr>
    </w:tbl>
    <w:p w14:paraId="55EC881D" w14:textId="77777777" w:rsidR="00C35465" w:rsidRDefault="00C35465" w:rsidP="00C35465">
      <w:pPr>
        <w:pStyle w:val="Heading1"/>
      </w:pPr>
      <w:r>
        <w:lastRenderedPageBreak/>
        <w:t>Assessment methods</w:t>
      </w:r>
    </w:p>
    <w:p w14:paraId="6E2E99FF" w14:textId="041157E3" w:rsidR="00C35465" w:rsidRPr="00384E65" w:rsidRDefault="00E04086" w:rsidP="00C35465">
      <w:pPr>
        <w:rPr>
          <w:b/>
          <w:color w:val="702F8A"/>
        </w:rPr>
      </w:pPr>
      <w:r w:rsidRPr="00384E65">
        <w:rPr>
          <w:b/>
          <w:color w:val="702F8A"/>
        </w:rPr>
        <w:t>S</w:t>
      </w:r>
      <w:r w:rsidR="00876801">
        <w:rPr>
          <w:b/>
          <w:color w:val="702F8A"/>
        </w:rPr>
        <w:t xml:space="preserve">hort response </w:t>
      </w:r>
      <w:r w:rsidRPr="00384E65">
        <w:rPr>
          <w:b/>
          <w:color w:val="702F8A"/>
        </w:rPr>
        <w:t>assignment</w:t>
      </w:r>
      <w:r w:rsidR="00E04AA8">
        <w:rPr>
          <w:b/>
          <w:color w:val="702F8A"/>
        </w:rPr>
        <w:t xml:space="preserve"> </w:t>
      </w:r>
      <w:r w:rsidR="00E04AA8" w:rsidRPr="00E04AA8">
        <w:rPr>
          <w:b/>
          <w:color w:val="702F8A"/>
        </w:rPr>
        <w:t>(MA7D1.SAR)</w:t>
      </w:r>
    </w:p>
    <w:p w14:paraId="571710FE" w14:textId="77777777" w:rsidR="00B70A5E" w:rsidRPr="00DA6D36" w:rsidRDefault="00B70A5E" w:rsidP="00E04086">
      <w:r w:rsidRPr="00DA6D36">
        <w:t xml:space="preserve">Externally set, internally marked and externally </w:t>
      </w:r>
      <w:r>
        <w:t xml:space="preserve">quality assured. </w:t>
      </w:r>
    </w:p>
    <w:p w14:paraId="2AF3BAA3" w14:textId="2B28D5AB" w:rsidR="00B70A5E" w:rsidRDefault="00B70A5E" w:rsidP="00E04086">
      <w:pPr>
        <w:rPr>
          <w:rFonts w:cstheme="minorHAnsi"/>
        </w:rPr>
      </w:pPr>
      <w:r w:rsidRPr="00DA6D36">
        <w:rPr>
          <w:rFonts w:cstheme="minorHAnsi"/>
        </w:rPr>
        <w:t xml:space="preserve">The </w:t>
      </w:r>
      <w:r w:rsidR="00876801">
        <w:rPr>
          <w:rFonts w:cstheme="minorHAnsi"/>
        </w:rPr>
        <w:t>summative</w:t>
      </w:r>
      <w:r w:rsidRPr="00DA6D36">
        <w:rPr>
          <w:rFonts w:cstheme="minorHAnsi"/>
        </w:rPr>
        <w:t xml:space="preserve"> assignment assesses knowl</w:t>
      </w:r>
      <w:r>
        <w:rPr>
          <w:rFonts w:cstheme="minorHAnsi"/>
        </w:rPr>
        <w:t>edge and understanding from the</w:t>
      </w:r>
      <w:r w:rsidRPr="00DA6D36">
        <w:rPr>
          <w:rFonts w:cstheme="minorHAnsi"/>
        </w:rPr>
        <w:t xml:space="preserve"> breadth of </w:t>
      </w:r>
      <w:r>
        <w:rPr>
          <w:rFonts w:cstheme="minorHAnsi"/>
        </w:rPr>
        <w:t>content within this u</w:t>
      </w:r>
      <w:r w:rsidRPr="00DA6D36">
        <w:rPr>
          <w:rFonts w:cstheme="minorHAnsi"/>
        </w:rPr>
        <w:t>nit</w:t>
      </w:r>
      <w:r>
        <w:rPr>
          <w:rFonts w:cstheme="minorHAnsi"/>
        </w:rPr>
        <w:t xml:space="preserve">. </w:t>
      </w:r>
      <w:r w:rsidRPr="00DA6D36">
        <w:rPr>
          <w:rFonts w:cstheme="minorHAnsi"/>
        </w:rPr>
        <w:t>Th</w:t>
      </w:r>
      <w:r w:rsidR="00876801">
        <w:rPr>
          <w:rFonts w:cstheme="minorHAnsi"/>
        </w:rPr>
        <w:t>is</w:t>
      </w:r>
      <w:r w:rsidRPr="00DA6D36">
        <w:rPr>
          <w:rFonts w:cstheme="minorHAnsi"/>
        </w:rPr>
        <w:t xml:space="preserve"> assignment contributes to the assessment outcome of the qualification. </w:t>
      </w:r>
    </w:p>
    <w:p w14:paraId="0CD6C732" w14:textId="2C92DC6D" w:rsidR="00C35465" w:rsidRPr="00B70A5E" w:rsidRDefault="00E04086" w:rsidP="00C35465">
      <w:pPr>
        <w:rPr>
          <w:b/>
        </w:rPr>
      </w:pPr>
      <w:r w:rsidRPr="00384E65">
        <w:rPr>
          <w:b/>
          <w:color w:val="702F8A"/>
        </w:rPr>
        <w:t>Summative external objective examination</w:t>
      </w:r>
      <w:r w:rsidR="00E04AA8">
        <w:rPr>
          <w:b/>
          <w:color w:val="702F8A"/>
        </w:rPr>
        <w:t xml:space="preserve"> </w:t>
      </w:r>
      <w:r w:rsidR="00E04AA8" w:rsidRPr="00E04AA8">
        <w:rPr>
          <w:b/>
          <w:color w:val="702F8A"/>
        </w:rPr>
        <w:t>(MA7D1.EX1)</w:t>
      </w:r>
    </w:p>
    <w:p w14:paraId="3A52D5B1" w14:textId="77777777" w:rsidR="00B70A5E" w:rsidRPr="00056D73" w:rsidRDefault="00B70A5E" w:rsidP="00E04086">
      <w:r w:rsidRPr="00056D73">
        <w:t xml:space="preserve">Externally set and externally marked examination. </w:t>
      </w:r>
    </w:p>
    <w:p w14:paraId="12568E56" w14:textId="20901CC5" w:rsidR="00C35465" w:rsidRDefault="00B70A5E" w:rsidP="00E04086">
      <w:r w:rsidRPr="00056D73">
        <w:t xml:space="preserve">The examination assesses knowledge and understanding from the breadth of the content within </w:t>
      </w:r>
      <w:r>
        <w:t>this unit.</w:t>
      </w:r>
      <w:r w:rsidRPr="00DA6D36">
        <w:rPr>
          <w:rFonts w:cstheme="minorHAnsi"/>
        </w:rPr>
        <w:t xml:space="preserve"> The </w:t>
      </w:r>
      <w:r>
        <w:rPr>
          <w:rFonts w:cstheme="minorHAnsi"/>
        </w:rPr>
        <w:t>external objective examination</w:t>
      </w:r>
      <w:r w:rsidRPr="00DA6D36">
        <w:rPr>
          <w:rFonts w:cstheme="minorHAnsi"/>
        </w:rPr>
        <w:t xml:space="preserve"> contributes to the assessment outcome of the qualification. </w:t>
      </w:r>
      <w:r>
        <w:rPr>
          <w:rFonts w:cstheme="minorHAnsi"/>
        </w:rPr>
        <w:t xml:space="preserve">The external objective examination will take place at the end of the period of learning. </w:t>
      </w:r>
      <w:r w:rsidR="00C35465">
        <w:br w:type="page"/>
      </w:r>
    </w:p>
    <w:p w14:paraId="1D9F2C1F" w14:textId="77777777" w:rsidR="009F656D" w:rsidRPr="00C35465" w:rsidRDefault="009F656D" w:rsidP="00C35465">
      <w:pPr>
        <w:spacing w:line="259" w:lineRule="auto"/>
        <w:rPr>
          <w:rFonts w:eastAsiaTheme="majorEastAsia" w:cstheme="majorBidi"/>
          <w:sz w:val="52"/>
          <w:szCs w:val="32"/>
        </w:rPr>
      </w:pPr>
      <w:r>
        <w:rPr>
          <w:b/>
        </w:rPr>
        <w:lastRenderedPageBreak/>
        <w:t>Document History</w:t>
      </w:r>
    </w:p>
    <w:tbl>
      <w:tblPr>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4A0" w:firstRow="1" w:lastRow="0" w:firstColumn="1" w:lastColumn="0" w:noHBand="0" w:noVBand="1"/>
      </w:tblPr>
      <w:tblGrid>
        <w:gridCol w:w="914"/>
        <w:gridCol w:w="1278"/>
        <w:gridCol w:w="3614"/>
        <w:gridCol w:w="3210"/>
      </w:tblGrid>
      <w:tr w:rsidR="00B56FC0" w:rsidRPr="004A608D" w14:paraId="76B3CDFC" w14:textId="77777777" w:rsidTr="00E04AA8">
        <w:tc>
          <w:tcPr>
            <w:tcW w:w="507" w:type="pct"/>
            <w:tcBorders>
              <w:top w:val="single" w:sz="4" w:space="0" w:color="DDDDDD"/>
              <w:left w:val="single" w:sz="4" w:space="0" w:color="DDDDDD"/>
              <w:bottom w:val="single" w:sz="4" w:space="0" w:color="DDDDDD"/>
              <w:right w:val="single" w:sz="4" w:space="0" w:color="DDDDDD"/>
            </w:tcBorders>
            <w:shd w:val="clear" w:color="auto" w:fill="EFDFF5"/>
            <w:hideMark/>
          </w:tcPr>
          <w:p w14:paraId="7E6C618C" w14:textId="77777777" w:rsidR="00B56FC0" w:rsidRPr="004A608D" w:rsidRDefault="00B56FC0" w:rsidP="0023654A">
            <w:pPr>
              <w:spacing w:before="60" w:after="60"/>
              <w:rPr>
                <w:b/>
              </w:rPr>
            </w:pPr>
            <w:r w:rsidRPr="004A608D">
              <w:rPr>
                <w:b/>
              </w:rPr>
              <w:t>Version</w:t>
            </w:r>
          </w:p>
        </w:tc>
        <w:tc>
          <w:tcPr>
            <w:tcW w:w="709" w:type="pct"/>
            <w:tcBorders>
              <w:top w:val="single" w:sz="4" w:space="0" w:color="DDDDDD"/>
              <w:left w:val="single" w:sz="4" w:space="0" w:color="DDDDDD"/>
              <w:bottom w:val="single" w:sz="4" w:space="0" w:color="DDDDDD"/>
              <w:right w:val="single" w:sz="4" w:space="0" w:color="DDDDDD"/>
            </w:tcBorders>
            <w:shd w:val="clear" w:color="auto" w:fill="EFDFF5"/>
            <w:hideMark/>
          </w:tcPr>
          <w:p w14:paraId="1EE73238" w14:textId="77777777" w:rsidR="00B56FC0" w:rsidRPr="004A608D" w:rsidRDefault="00B56FC0" w:rsidP="0023654A">
            <w:pPr>
              <w:spacing w:before="60" w:after="60"/>
              <w:rPr>
                <w:b/>
              </w:rPr>
            </w:pPr>
            <w:r w:rsidRPr="004A608D">
              <w:rPr>
                <w:b/>
              </w:rPr>
              <w:t>Issue Date</w:t>
            </w:r>
          </w:p>
        </w:tc>
        <w:tc>
          <w:tcPr>
            <w:tcW w:w="2004" w:type="pct"/>
            <w:tcBorders>
              <w:top w:val="single" w:sz="4" w:space="0" w:color="DDDDDD"/>
              <w:left w:val="single" w:sz="4" w:space="0" w:color="DDDDDD"/>
              <w:bottom w:val="single" w:sz="4" w:space="0" w:color="DDDDDD"/>
              <w:right w:val="single" w:sz="4" w:space="0" w:color="DDDDDD"/>
            </w:tcBorders>
            <w:shd w:val="clear" w:color="auto" w:fill="EFDFF5"/>
            <w:hideMark/>
          </w:tcPr>
          <w:p w14:paraId="267E59A6" w14:textId="77777777" w:rsidR="00B56FC0" w:rsidRPr="004A608D" w:rsidRDefault="00B56FC0" w:rsidP="0023654A">
            <w:pPr>
              <w:spacing w:before="60" w:after="60"/>
              <w:rPr>
                <w:b/>
              </w:rPr>
            </w:pPr>
            <w:r w:rsidRPr="004A608D">
              <w:rPr>
                <w:b/>
              </w:rPr>
              <w:t>Changes</w:t>
            </w:r>
          </w:p>
        </w:tc>
        <w:tc>
          <w:tcPr>
            <w:tcW w:w="1780" w:type="pct"/>
            <w:tcBorders>
              <w:top w:val="single" w:sz="4" w:space="0" w:color="DDDDDD"/>
              <w:left w:val="single" w:sz="4" w:space="0" w:color="DDDDDD"/>
              <w:bottom w:val="single" w:sz="4" w:space="0" w:color="DDDDDD"/>
              <w:right w:val="single" w:sz="4" w:space="0" w:color="DDDDDD"/>
            </w:tcBorders>
            <w:shd w:val="clear" w:color="auto" w:fill="EFDFF5"/>
          </w:tcPr>
          <w:p w14:paraId="5841FDD6" w14:textId="77777777" w:rsidR="00B56FC0" w:rsidRPr="004A608D" w:rsidRDefault="00B56FC0" w:rsidP="0023654A">
            <w:pPr>
              <w:spacing w:before="60" w:after="60"/>
              <w:rPr>
                <w:b/>
              </w:rPr>
            </w:pPr>
            <w:r>
              <w:rPr>
                <w:b/>
              </w:rPr>
              <w:t>Role</w:t>
            </w:r>
          </w:p>
        </w:tc>
      </w:tr>
      <w:tr w:rsidR="00E04AA8" w:rsidRPr="004A608D" w14:paraId="35F3397A" w14:textId="77777777" w:rsidTr="00E04AA8">
        <w:tc>
          <w:tcPr>
            <w:tcW w:w="507" w:type="pct"/>
            <w:tcBorders>
              <w:top w:val="single" w:sz="4" w:space="0" w:color="DDDDDD"/>
              <w:left w:val="single" w:sz="4" w:space="0" w:color="DDDDDD"/>
              <w:bottom w:val="single" w:sz="4" w:space="0" w:color="DDDDDD"/>
              <w:right w:val="single" w:sz="4" w:space="0" w:color="DDDDDD"/>
            </w:tcBorders>
          </w:tcPr>
          <w:p w14:paraId="6AF2352E" w14:textId="6EBE93DC" w:rsidR="00E04AA8" w:rsidRPr="004A608D" w:rsidRDefault="00E04AA8" w:rsidP="00E04AA8">
            <w:pPr>
              <w:spacing w:before="60" w:after="60"/>
            </w:pPr>
            <w:r>
              <w:t>v1.0</w:t>
            </w:r>
          </w:p>
        </w:tc>
        <w:tc>
          <w:tcPr>
            <w:tcW w:w="709" w:type="pct"/>
            <w:tcBorders>
              <w:top w:val="single" w:sz="4" w:space="0" w:color="DDDDDD"/>
              <w:left w:val="single" w:sz="4" w:space="0" w:color="DDDDDD"/>
              <w:bottom w:val="single" w:sz="4" w:space="0" w:color="DDDDDD"/>
              <w:right w:val="single" w:sz="4" w:space="0" w:color="DDDDDD"/>
            </w:tcBorders>
          </w:tcPr>
          <w:p w14:paraId="68EF10A2" w14:textId="1BFD3701" w:rsidR="00E04AA8" w:rsidRPr="004A608D" w:rsidRDefault="00E04AA8" w:rsidP="00E04AA8">
            <w:pPr>
              <w:spacing w:before="60" w:after="60"/>
            </w:pPr>
            <w:r>
              <w:t>14/07/2020</w:t>
            </w:r>
          </w:p>
        </w:tc>
        <w:tc>
          <w:tcPr>
            <w:tcW w:w="2004" w:type="pct"/>
            <w:tcBorders>
              <w:top w:val="single" w:sz="4" w:space="0" w:color="DDDDDD"/>
              <w:left w:val="single" w:sz="4" w:space="0" w:color="DDDDDD"/>
              <w:bottom w:val="single" w:sz="4" w:space="0" w:color="DDDDDD"/>
              <w:right w:val="single" w:sz="4" w:space="0" w:color="DDDDDD"/>
            </w:tcBorders>
          </w:tcPr>
          <w:p w14:paraId="365DF87C" w14:textId="4DEE9174" w:rsidR="00E04AA8" w:rsidRPr="004A608D" w:rsidRDefault="00E04AA8" w:rsidP="00E04AA8">
            <w:pPr>
              <w:spacing w:before="60" w:after="60"/>
            </w:pPr>
            <w:r>
              <w:t>First published</w:t>
            </w:r>
          </w:p>
        </w:tc>
        <w:tc>
          <w:tcPr>
            <w:tcW w:w="1780" w:type="pct"/>
            <w:tcBorders>
              <w:top w:val="single" w:sz="4" w:space="0" w:color="DDDDDD"/>
              <w:left w:val="single" w:sz="4" w:space="0" w:color="DDDDDD"/>
              <w:bottom w:val="single" w:sz="4" w:space="0" w:color="DDDDDD"/>
              <w:right w:val="single" w:sz="4" w:space="0" w:color="DDDDDD"/>
            </w:tcBorders>
          </w:tcPr>
          <w:p w14:paraId="4E127A86" w14:textId="74F5F834" w:rsidR="00E04AA8" w:rsidRPr="004A608D" w:rsidRDefault="00E04AA8" w:rsidP="00E04AA8">
            <w:pPr>
              <w:spacing w:before="60" w:after="60"/>
            </w:pPr>
            <w:r>
              <w:t>Product and Regulation Manager</w:t>
            </w:r>
          </w:p>
        </w:tc>
      </w:tr>
      <w:tr w:rsidR="00E04AA8" w:rsidRPr="004A608D" w14:paraId="7CC9CAED" w14:textId="77777777" w:rsidTr="00E04AA8">
        <w:tc>
          <w:tcPr>
            <w:tcW w:w="507" w:type="pct"/>
            <w:tcBorders>
              <w:top w:val="single" w:sz="4" w:space="0" w:color="DDDDDD"/>
              <w:left w:val="single" w:sz="4" w:space="0" w:color="DDDDDD"/>
              <w:bottom w:val="single" w:sz="4" w:space="0" w:color="DDDDDD"/>
              <w:right w:val="single" w:sz="4" w:space="0" w:color="DDDDDD"/>
            </w:tcBorders>
          </w:tcPr>
          <w:p w14:paraId="4EF0CC25" w14:textId="5494AF41" w:rsidR="00E04AA8" w:rsidRPr="004A608D" w:rsidRDefault="00E04AA8" w:rsidP="00E04AA8">
            <w:pPr>
              <w:spacing w:before="60" w:after="60"/>
            </w:pPr>
          </w:p>
        </w:tc>
        <w:tc>
          <w:tcPr>
            <w:tcW w:w="709" w:type="pct"/>
            <w:tcBorders>
              <w:top w:val="single" w:sz="4" w:space="0" w:color="DDDDDD"/>
              <w:left w:val="single" w:sz="4" w:space="0" w:color="DDDDDD"/>
              <w:bottom w:val="single" w:sz="4" w:space="0" w:color="DDDDDD"/>
              <w:right w:val="single" w:sz="4" w:space="0" w:color="DDDDDD"/>
            </w:tcBorders>
          </w:tcPr>
          <w:p w14:paraId="06D48495" w14:textId="77777777" w:rsidR="00E04AA8" w:rsidRPr="004A608D" w:rsidRDefault="00E04AA8" w:rsidP="00E04AA8">
            <w:pPr>
              <w:spacing w:before="60" w:after="60"/>
            </w:pPr>
          </w:p>
        </w:tc>
        <w:tc>
          <w:tcPr>
            <w:tcW w:w="2004" w:type="pct"/>
            <w:tcBorders>
              <w:top w:val="single" w:sz="4" w:space="0" w:color="DDDDDD"/>
              <w:left w:val="single" w:sz="4" w:space="0" w:color="DDDDDD"/>
              <w:bottom w:val="single" w:sz="4" w:space="0" w:color="DDDDDD"/>
              <w:right w:val="single" w:sz="4" w:space="0" w:color="DDDDDD"/>
            </w:tcBorders>
          </w:tcPr>
          <w:p w14:paraId="21EEF324" w14:textId="17E8AF2A" w:rsidR="00E04AA8" w:rsidRPr="004A608D" w:rsidRDefault="00E04AA8" w:rsidP="00E04AA8">
            <w:pPr>
              <w:spacing w:before="60" w:after="60"/>
            </w:pPr>
          </w:p>
        </w:tc>
        <w:tc>
          <w:tcPr>
            <w:tcW w:w="1780" w:type="pct"/>
            <w:tcBorders>
              <w:top w:val="single" w:sz="4" w:space="0" w:color="DDDDDD"/>
              <w:left w:val="single" w:sz="4" w:space="0" w:color="DDDDDD"/>
              <w:bottom w:val="single" w:sz="4" w:space="0" w:color="DDDDDD"/>
              <w:right w:val="single" w:sz="4" w:space="0" w:color="DDDDDD"/>
            </w:tcBorders>
          </w:tcPr>
          <w:p w14:paraId="66F26998" w14:textId="7A0B2072" w:rsidR="00E04AA8" w:rsidRPr="004A608D" w:rsidRDefault="00E04AA8" w:rsidP="00E04AA8">
            <w:pPr>
              <w:spacing w:before="60" w:after="60"/>
            </w:pPr>
          </w:p>
        </w:tc>
      </w:tr>
    </w:tbl>
    <w:p w14:paraId="647AD6B7" w14:textId="77777777" w:rsidR="004667A2" w:rsidRDefault="004667A2" w:rsidP="009F656D"/>
    <w:sectPr w:rsidR="004667A2" w:rsidSect="000D1D6D">
      <w:footerReference w:type="default" r:id="rId12"/>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0C09" w14:textId="77777777" w:rsidR="001B3D90" w:rsidRDefault="001B3D90" w:rsidP="00735D34">
      <w:r>
        <w:separator/>
      </w:r>
    </w:p>
  </w:endnote>
  <w:endnote w:type="continuationSeparator" w:id="0">
    <w:p w14:paraId="3EFEB79F" w14:textId="77777777" w:rsidR="001B3D90" w:rsidRDefault="001B3D90" w:rsidP="0073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985512"/>
      <w:docPartObj>
        <w:docPartGallery w:val="Page Numbers (Bottom of Page)"/>
        <w:docPartUnique/>
      </w:docPartObj>
    </w:sdtPr>
    <w:sdtEndPr/>
    <w:sdtContent>
      <w:sdt>
        <w:sdtPr>
          <w:id w:val="-1769616900"/>
          <w:docPartObj>
            <w:docPartGallery w:val="Page Numbers (Top of Page)"/>
            <w:docPartUnique/>
          </w:docPartObj>
        </w:sdtPr>
        <w:sdtEndPr/>
        <w:sdtContent>
          <w:p w14:paraId="4173E6EF" w14:textId="08ABB9BA" w:rsidR="00C91C82" w:rsidRDefault="00F438C4" w:rsidP="00C142C1">
            <w:pPr>
              <w:pStyle w:val="Footer"/>
            </w:pPr>
            <w:r>
              <w:t>UMA1</w:t>
            </w:r>
            <w:r w:rsidR="00C91C82">
              <w:t xml:space="preserve"> </w:t>
            </w:r>
            <w:r>
              <w:t>Unit specification_</w:t>
            </w:r>
            <w:r w:rsidR="00477EB4">
              <w:t>v</w:t>
            </w:r>
            <w:r w:rsidR="00B7195A">
              <w:t>1</w:t>
            </w:r>
            <w:r w:rsidR="00775261">
              <w:t>.</w:t>
            </w:r>
            <w:r w:rsidR="009E26C3">
              <w:t>7</w:t>
            </w:r>
            <w:r w:rsidR="00C91C82">
              <w:tab/>
            </w:r>
            <w:r>
              <w:tab/>
            </w:r>
            <w:r w:rsidR="00C91C82" w:rsidRPr="005B5965">
              <w:t xml:space="preserve">Page </w:t>
            </w:r>
            <w:r w:rsidR="008275EC" w:rsidRPr="005B5965">
              <w:rPr>
                <w:sz w:val="24"/>
                <w:szCs w:val="24"/>
              </w:rPr>
              <w:fldChar w:fldCharType="begin"/>
            </w:r>
            <w:r w:rsidR="00C91C82" w:rsidRPr="005B5965">
              <w:instrText xml:space="preserve"> PAGE </w:instrText>
            </w:r>
            <w:r w:rsidR="008275EC" w:rsidRPr="005B5965">
              <w:rPr>
                <w:sz w:val="24"/>
                <w:szCs w:val="24"/>
              </w:rPr>
              <w:fldChar w:fldCharType="separate"/>
            </w:r>
            <w:r w:rsidR="009E26C3">
              <w:rPr>
                <w:noProof/>
              </w:rPr>
              <w:t>12</w:t>
            </w:r>
            <w:r w:rsidR="008275EC" w:rsidRPr="005B5965">
              <w:rPr>
                <w:sz w:val="24"/>
                <w:szCs w:val="24"/>
              </w:rPr>
              <w:fldChar w:fldCharType="end"/>
            </w:r>
            <w:r w:rsidR="00C91C82" w:rsidRPr="005B5965">
              <w:t xml:space="preserve"> of </w:t>
            </w:r>
            <w:r w:rsidR="008275EC">
              <w:rPr>
                <w:noProof/>
              </w:rPr>
              <w:fldChar w:fldCharType="begin"/>
            </w:r>
            <w:r w:rsidR="00C91C82">
              <w:rPr>
                <w:noProof/>
              </w:rPr>
              <w:instrText xml:space="preserve"> NUMPAGES  </w:instrText>
            </w:r>
            <w:r w:rsidR="008275EC">
              <w:rPr>
                <w:noProof/>
              </w:rPr>
              <w:fldChar w:fldCharType="separate"/>
            </w:r>
            <w:r w:rsidR="009E26C3">
              <w:rPr>
                <w:noProof/>
              </w:rPr>
              <w:t>12</w:t>
            </w:r>
            <w:r w:rsidR="008275EC">
              <w:rPr>
                <w:noProof/>
              </w:rPr>
              <w:fldChar w:fldCharType="end"/>
            </w:r>
          </w:p>
        </w:sdtContent>
      </w:sdt>
    </w:sdtContent>
  </w:sdt>
  <w:p w14:paraId="166F463A" w14:textId="77777777" w:rsidR="00C91C82" w:rsidRDefault="00C91C82" w:rsidP="00735D34">
    <w:pPr>
      <w:pStyle w:val="Footer"/>
    </w:pPr>
    <w:r w:rsidRPr="009E5A05">
      <w:t>If printed this document becomes uncontrolled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9AAF" w14:textId="77777777" w:rsidR="001B3D90" w:rsidRDefault="001B3D90" w:rsidP="00735D34">
      <w:r>
        <w:separator/>
      </w:r>
    </w:p>
  </w:footnote>
  <w:footnote w:type="continuationSeparator" w:id="0">
    <w:p w14:paraId="12AFAEBD" w14:textId="77777777" w:rsidR="001B3D90" w:rsidRDefault="001B3D90" w:rsidP="0073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BE9"/>
    <w:multiLevelType w:val="hybridMultilevel"/>
    <w:tmpl w:val="174C1756"/>
    <w:lvl w:ilvl="0" w:tplc="5240F712">
      <w:start w:val="1"/>
      <w:numFmt w:val="decimal"/>
      <w:pStyle w:val="numberheading"/>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B2B1439"/>
    <w:multiLevelType w:val="hybridMultilevel"/>
    <w:tmpl w:val="867E2BB2"/>
    <w:lvl w:ilvl="0" w:tplc="C57E1786">
      <w:start w:val="1"/>
      <w:numFmt w:val="bullet"/>
      <w:pStyle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53991"/>
    <w:multiLevelType w:val="hybridMultilevel"/>
    <w:tmpl w:val="6E46FCBA"/>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0037F53"/>
    <w:multiLevelType w:val="hybridMultilevel"/>
    <w:tmpl w:val="EB2C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729E2"/>
    <w:multiLevelType w:val="hybridMultilevel"/>
    <w:tmpl w:val="03D8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6744"/>
    <w:multiLevelType w:val="hybridMultilevel"/>
    <w:tmpl w:val="035A0574"/>
    <w:lvl w:ilvl="0" w:tplc="AD448D14">
      <w:start w:val="1"/>
      <w:numFmt w:val="bullet"/>
      <w:pStyle w:val="Bulletedtex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5B6A68"/>
    <w:multiLevelType w:val="hybridMultilevel"/>
    <w:tmpl w:val="03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F56E2"/>
    <w:multiLevelType w:val="hybridMultilevel"/>
    <w:tmpl w:val="D91E14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2916C7"/>
    <w:multiLevelType w:val="hybridMultilevel"/>
    <w:tmpl w:val="035095C8"/>
    <w:lvl w:ilvl="0" w:tplc="C6FEBB9E">
      <w:numFmt w:val="bullet"/>
      <w:lvlText w:val="-"/>
      <w:lvlJc w:val="left"/>
      <w:pPr>
        <w:ind w:left="1778" w:hanging="360"/>
      </w:pPr>
      <w:rPr>
        <w:rFonts w:ascii="Arial" w:eastAsia="Calibri"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3A9C3470"/>
    <w:multiLevelType w:val="hybridMultilevel"/>
    <w:tmpl w:val="D752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D7F3E"/>
    <w:multiLevelType w:val="multilevel"/>
    <w:tmpl w:val="69DE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3C6BB4"/>
    <w:multiLevelType w:val="hybridMultilevel"/>
    <w:tmpl w:val="5C3E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F06298"/>
    <w:multiLevelType w:val="hybridMultilevel"/>
    <w:tmpl w:val="9188A0E8"/>
    <w:lvl w:ilvl="0" w:tplc="A476D3CC">
      <w:start w:val="1"/>
      <w:numFmt w:val="bullet"/>
      <w:pStyle w:val="Bullet2"/>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626924"/>
    <w:multiLevelType w:val="hybridMultilevel"/>
    <w:tmpl w:val="B776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55356"/>
    <w:multiLevelType w:val="hybridMultilevel"/>
    <w:tmpl w:val="37E6EC2C"/>
    <w:lvl w:ilvl="0" w:tplc="F92467B0">
      <w:start w:val="1"/>
      <w:numFmt w:val="decimal"/>
      <w:lvlText w:val="(%1)"/>
      <w:lvlJc w:val="left"/>
      <w:pPr>
        <w:ind w:left="720" w:hanging="360"/>
      </w:pPr>
      <w:rPr>
        <w:rFonts w:ascii="Arial" w:hAnsi="Arial" w:cs="Arial"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AC494E"/>
    <w:multiLevelType w:val="hybridMultilevel"/>
    <w:tmpl w:val="F8AA3338"/>
    <w:lvl w:ilvl="0" w:tplc="0809000F">
      <w:start w:val="1"/>
      <w:numFmt w:val="decimal"/>
      <w:lvlText w:val="%1."/>
      <w:lvlJc w:val="left"/>
      <w:pPr>
        <w:ind w:left="1080" w:hanging="360"/>
      </w:pPr>
      <w:rPr>
        <w:rFonts w:hint="default"/>
      </w:rPr>
    </w:lvl>
    <w:lvl w:ilvl="1" w:tplc="6E02D01E">
      <w:start w:val="1"/>
      <w:numFmt w:val="lowerLetter"/>
      <w:lvlText w:val="(%2)"/>
      <w:lvlJc w:val="left"/>
      <w:pPr>
        <w:ind w:left="1800" w:hanging="360"/>
      </w:pPr>
      <w:rPr>
        <w:rFonts w:hint="default"/>
        <w:i/>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773C28"/>
    <w:multiLevelType w:val="hybridMultilevel"/>
    <w:tmpl w:val="1D2439A8"/>
    <w:lvl w:ilvl="0" w:tplc="B9BCF37C">
      <w:start w:val="1"/>
      <w:numFmt w:val="bullet"/>
      <w:pStyle w:val="Bullet1"/>
      <w:lvlText w:val=""/>
      <w:lvlJc w:val="left"/>
      <w:pPr>
        <w:ind w:left="360" w:hanging="360"/>
      </w:pPr>
      <w:rPr>
        <w:rFonts w:ascii="Symbol" w:hAnsi="Symbol" w:hint="default"/>
      </w:rPr>
    </w:lvl>
    <w:lvl w:ilvl="1" w:tplc="5E844BD2">
      <w:numFmt w:val="bullet"/>
      <w:pStyle w:val="NoSpacing"/>
      <w:lvlText w:val="-"/>
      <w:lvlJc w:val="left"/>
      <w:pPr>
        <w:ind w:left="1778"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37E1B"/>
    <w:multiLevelType w:val="hybridMultilevel"/>
    <w:tmpl w:val="6ECC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C56A9C"/>
    <w:multiLevelType w:val="hybridMultilevel"/>
    <w:tmpl w:val="8274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12"/>
  </w:num>
  <w:num w:numId="6">
    <w:abstractNumId w:val="16"/>
  </w:num>
  <w:num w:numId="7">
    <w:abstractNumId w:val="8"/>
  </w:num>
  <w:num w:numId="8">
    <w:abstractNumId w:val="4"/>
  </w:num>
  <w:num w:numId="9">
    <w:abstractNumId w:val="17"/>
  </w:num>
  <w:num w:numId="10">
    <w:abstractNumId w:val="3"/>
  </w:num>
  <w:num w:numId="11">
    <w:abstractNumId w:val="18"/>
  </w:num>
  <w:num w:numId="12">
    <w:abstractNumId w:val="10"/>
  </w:num>
  <w:num w:numId="13">
    <w:abstractNumId w:val="11"/>
  </w:num>
  <w:num w:numId="14">
    <w:abstractNumId w:val="13"/>
  </w:num>
  <w:num w:numId="15">
    <w:abstractNumId w:val="9"/>
  </w:num>
  <w:num w:numId="16">
    <w:abstractNumId w:val="6"/>
  </w:num>
  <w:num w:numId="17">
    <w:abstractNumId w:val="14"/>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2MDIyM7O0NLa0MDFX0lEKTi0uzszPAykwtKgFAA79CTgtAAAA"/>
  </w:docVars>
  <w:rsids>
    <w:rsidRoot w:val="00B74EED"/>
    <w:rsid w:val="00000A3E"/>
    <w:rsid w:val="00002F45"/>
    <w:rsid w:val="00003257"/>
    <w:rsid w:val="000041AE"/>
    <w:rsid w:val="000108AE"/>
    <w:rsid w:val="00010BC2"/>
    <w:rsid w:val="00035347"/>
    <w:rsid w:val="000469F1"/>
    <w:rsid w:val="0005446F"/>
    <w:rsid w:val="000554A7"/>
    <w:rsid w:val="00056ADD"/>
    <w:rsid w:val="000661FB"/>
    <w:rsid w:val="000730CF"/>
    <w:rsid w:val="00075CB0"/>
    <w:rsid w:val="00095EA6"/>
    <w:rsid w:val="000B6B6D"/>
    <w:rsid w:val="000C1BC7"/>
    <w:rsid w:val="000C7017"/>
    <w:rsid w:val="000D1D6D"/>
    <w:rsid w:val="0011050F"/>
    <w:rsid w:val="0011463A"/>
    <w:rsid w:val="00126E13"/>
    <w:rsid w:val="001272EF"/>
    <w:rsid w:val="00133D1D"/>
    <w:rsid w:val="00137F97"/>
    <w:rsid w:val="0014018A"/>
    <w:rsid w:val="00140881"/>
    <w:rsid w:val="00140884"/>
    <w:rsid w:val="00143DC0"/>
    <w:rsid w:val="0014717F"/>
    <w:rsid w:val="00151D37"/>
    <w:rsid w:val="001607B2"/>
    <w:rsid w:val="001616A5"/>
    <w:rsid w:val="00161E31"/>
    <w:rsid w:val="00165B85"/>
    <w:rsid w:val="001700D2"/>
    <w:rsid w:val="00173057"/>
    <w:rsid w:val="00177F7A"/>
    <w:rsid w:val="00182102"/>
    <w:rsid w:val="0018288A"/>
    <w:rsid w:val="00182C84"/>
    <w:rsid w:val="0018694F"/>
    <w:rsid w:val="0019114B"/>
    <w:rsid w:val="00192DF6"/>
    <w:rsid w:val="00195B44"/>
    <w:rsid w:val="001A3768"/>
    <w:rsid w:val="001A6755"/>
    <w:rsid w:val="001B0AD9"/>
    <w:rsid w:val="001B15BD"/>
    <w:rsid w:val="001B3D90"/>
    <w:rsid w:val="001C172A"/>
    <w:rsid w:val="001C4B4B"/>
    <w:rsid w:val="001C62AF"/>
    <w:rsid w:val="001E2E89"/>
    <w:rsid w:val="001E3CA2"/>
    <w:rsid w:val="001E6F80"/>
    <w:rsid w:val="001F6F9E"/>
    <w:rsid w:val="00202D28"/>
    <w:rsid w:val="0020527E"/>
    <w:rsid w:val="002116D5"/>
    <w:rsid w:val="0021340C"/>
    <w:rsid w:val="00232BE6"/>
    <w:rsid w:val="0023322C"/>
    <w:rsid w:val="0023654A"/>
    <w:rsid w:val="00241EDB"/>
    <w:rsid w:val="00245D23"/>
    <w:rsid w:val="002564E3"/>
    <w:rsid w:val="002636F6"/>
    <w:rsid w:val="002644A6"/>
    <w:rsid w:val="00274B2A"/>
    <w:rsid w:val="00274C35"/>
    <w:rsid w:val="002818CD"/>
    <w:rsid w:val="00290F45"/>
    <w:rsid w:val="002965A0"/>
    <w:rsid w:val="00296BFE"/>
    <w:rsid w:val="002A0F14"/>
    <w:rsid w:val="002A730F"/>
    <w:rsid w:val="002B68F8"/>
    <w:rsid w:val="002C5C77"/>
    <w:rsid w:val="002D40C9"/>
    <w:rsid w:val="002E7FEB"/>
    <w:rsid w:val="002F19A1"/>
    <w:rsid w:val="002F212D"/>
    <w:rsid w:val="002F241B"/>
    <w:rsid w:val="002F4DBC"/>
    <w:rsid w:val="002F74D6"/>
    <w:rsid w:val="0030230A"/>
    <w:rsid w:val="00303D13"/>
    <w:rsid w:val="00304C66"/>
    <w:rsid w:val="003154E8"/>
    <w:rsid w:val="00316473"/>
    <w:rsid w:val="00316F9E"/>
    <w:rsid w:val="003174B1"/>
    <w:rsid w:val="003246EC"/>
    <w:rsid w:val="00325637"/>
    <w:rsid w:val="00345046"/>
    <w:rsid w:val="003520B2"/>
    <w:rsid w:val="00360464"/>
    <w:rsid w:val="00361FF4"/>
    <w:rsid w:val="0036301A"/>
    <w:rsid w:val="00383801"/>
    <w:rsid w:val="00384E65"/>
    <w:rsid w:val="003900D0"/>
    <w:rsid w:val="00390738"/>
    <w:rsid w:val="00392B0B"/>
    <w:rsid w:val="003958A8"/>
    <w:rsid w:val="003B4F1F"/>
    <w:rsid w:val="003B6CAA"/>
    <w:rsid w:val="003C2EAB"/>
    <w:rsid w:val="003C5251"/>
    <w:rsid w:val="003D6715"/>
    <w:rsid w:val="003E7B8D"/>
    <w:rsid w:val="003F2255"/>
    <w:rsid w:val="00400895"/>
    <w:rsid w:val="004038DE"/>
    <w:rsid w:val="004069A7"/>
    <w:rsid w:val="00410226"/>
    <w:rsid w:val="004133D8"/>
    <w:rsid w:val="0041501F"/>
    <w:rsid w:val="00420AE9"/>
    <w:rsid w:val="00421B28"/>
    <w:rsid w:val="00427A14"/>
    <w:rsid w:val="0043133E"/>
    <w:rsid w:val="00454D08"/>
    <w:rsid w:val="00457F51"/>
    <w:rsid w:val="00464B15"/>
    <w:rsid w:val="00465FA2"/>
    <w:rsid w:val="004667A2"/>
    <w:rsid w:val="00475662"/>
    <w:rsid w:val="00477296"/>
    <w:rsid w:val="00477EB4"/>
    <w:rsid w:val="00485386"/>
    <w:rsid w:val="00485BE8"/>
    <w:rsid w:val="00492AFF"/>
    <w:rsid w:val="00493211"/>
    <w:rsid w:val="00495FC8"/>
    <w:rsid w:val="004A6E0B"/>
    <w:rsid w:val="004C2F51"/>
    <w:rsid w:val="004D52F7"/>
    <w:rsid w:val="004D5605"/>
    <w:rsid w:val="004E5153"/>
    <w:rsid w:val="00504AE8"/>
    <w:rsid w:val="00532F2A"/>
    <w:rsid w:val="005344B8"/>
    <w:rsid w:val="005441DB"/>
    <w:rsid w:val="0055381E"/>
    <w:rsid w:val="00557B36"/>
    <w:rsid w:val="00560C28"/>
    <w:rsid w:val="005704C4"/>
    <w:rsid w:val="00586BFF"/>
    <w:rsid w:val="005A1D73"/>
    <w:rsid w:val="005A2AE1"/>
    <w:rsid w:val="005A35E5"/>
    <w:rsid w:val="005A39CB"/>
    <w:rsid w:val="005B0584"/>
    <w:rsid w:val="005B1D1B"/>
    <w:rsid w:val="005B5965"/>
    <w:rsid w:val="005B7B27"/>
    <w:rsid w:val="005C2D6B"/>
    <w:rsid w:val="005C4911"/>
    <w:rsid w:val="005C4F5C"/>
    <w:rsid w:val="005F248E"/>
    <w:rsid w:val="005F6FD6"/>
    <w:rsid w:val="005F70D5"/>
    <w:rsid w:val="005F7533"/>
    <w:rsid w:val="00607B1E"/>
    <w:rsid w:val="006114A1"/>
    <w:rsid w:val="00612046"/>
    <w:rsid w:val="00612E40"/>
    <w:rsid w:val="00616014"/>
    <w:rsid w:val="006337C5"/>
    <w:rsid w:val="006430C1"/>
    <w:rsid w:val="006474E8"/>
    <w:rsid w:val="006562D8"/>
    <w:rsid w:val="006707B7"/>
    <w:rsid w:val="0067280A"/>
    <w:rsid w:val="0068262C"/>
    <w:rsid w:val="00684400"/>
    <w:rsid w:val="00686985"/>
    <w:rsid w:val="006A3517"/>
    <w:rsid w:val="006B7399"/>
    <w:rsid w:val="006B78B1"/>
    <w:rsid w:val="006C2645"/>
    <w:rsid w:val="006C438E"/>
    <w:rsid w:val="006C4A7B"/>
    <w:rsid w:val="006D32A6"/>
    <w:rsid w:val="006D3A44"/>
    <w:rsid w:val="006F142F"/>
    <w:rsid w:val="006F489D"/>
    <w:rsid w:val="0070390B"/>
    <w:rsid w:val="0070790F"/>
    <w:rsid w:val="00711E95"/>
    <w:rsid w:val="00721820"/>
    <w:rsid w:val="00726597"/>
    <w:rsid w:val="0072764C"/>
    <w:rsid w:val="00735D34"/>
    <w:rsid w:val="007375A6"/>
    <w:rsid w:val="00747314"/>
    <w:rsid w:val="00751292"/>
    <w:rsid w:val="00753D85"/>
    <w:rsid w:val="00770171"/>
    <w:rsid w:val="00771E97"/>
    <w:rsid w:val="00773584"/>
    <w:rsid w:val="00775261"/>
    <w:rsid w:val="007761F1"/>
    <w:rsid w:val="007815B4"/>
    <w:rsid w:val="00786821"/>
    <w:rsid w:val="007870A1"/>
    <w:rsid w:val="007A1464"/>
    <w:rsid w:val="007B4524"/>
    <w:rsid w:val="007B6DFD"/>
    <w:rsid w:val="007D1F6B"/>
    <w:rsid w:val="007D7D53"/>
    <w:rsid w:val="007E0133"/>
    <w:rsid w:val="007E763A"/>
    <w:rsid w:val="007F0350"/>
    <w:rsid w:val="008008A6"/>
    <w:rsid w:val="00804521"/>
    <w:rsid w:val="0081268B"/>
    <w:rsid w:val="008154B8"/>
    <w:rsid w:val="0082432F"/>
    <w:rsid w:val="008272F8"/>
    <w:rsid w:val="008275EC"/>
    <w:rsid w:val="00832B66"/>
    <w:rsid w:val="00834262"/>
    <w:rsid w:val="00843735"/>
    <w:rsid w:val="0085793E"/>
    <w:rsid w:val="008732FB"/>
    <w:rsid w:val="00874E16"/>
    <w:rsid w:val="0087599E"/>
    <w:rsid w:val="00876801"/>
    <w:rsid w:val="0088344F"/>
    <w:rsid w:val="00886B7D"/>
    <w:rsid w:val="00891F3E"/>
    <w:rsid w:val="00893449"/>
    <w:rsid w:val="00897BA0"/>
    <w:rsid w:val="008A0785"/>
    <w:rsid w:val="008A2804"/>
    <w:rsid w:val="008B0141"/>
    <w:rsid w:val="008B38B6"/>
    <w:rsid w:val="008B7B15"/>
    <w:rsid w:val="008E3F99"/>
    <w:rsid w:val="008E5EFD"/>
    <w:rsid w:val="008F03ED"/>
    <w:rsid w:val="008F7E9D"/>
    <w:rsid w:val="00904310"/>
    <w:rsid w:val="00942AF4"/>
    <w:rsid w:val="009434CA"/>
    <w:rsid w:val="00944156"/>
    <w:rsid w:val="009541DF"/>
    <w:rsid w:val="00955590"/>
    <w:rsid w:val="00961CCE"/>
    <w:rsid w:val="009623F5"/>
    <w:rsid w:val="009722A8"/>
    <w:rsid w:val="00974429"/>
    <w:rsid w:val="00976267"/>
    <w:rsid w:val="00983A57"/>
    <w:rsid w:val="00992337"/>
    <w:rsid w:val="00996239"/>
    <w:rsid w:val="00997E9E"/>
    <w:rsid w:val="009A0702"/>
    <w:rsid w:val="009A7F7B"/>
    <w:rsid w:val="009B6AC5"/>
    <w:rsid w:val="009C2D69"/>
    <w:rsid w:val="009C6504"/>
    <w:rsid w:val="009D33D3"/>
    <w:rsid w:val="009D42F0"/>
    <w:rsid w:val="009D74F3"/>
    <w:rsid w:val="009E26C3"/>
    <w:rsid w:val="009E5A05"/>
    <w:rsid w:val="009F6255"/>
    <w:rsid w:val="009F656D"/>
    <w:rsid w:val="00A00691"/>
    <w:rsid w:val="00A06A31"/>
    <w:rsid w:val="00A32652"/>
    <w:rsid w:val="00A4146D"/>
    <w:rsid w:val="00A45C83"/>
    <w:rsid w:val="00A46EE5"/>
    <w:rsid w:val="00A56E82"/>
    <w:rsid w:val="00A62254"/>
    <w:rsid w:val="00A66143"/>
    <w:rsid w:val="00A679AF"/>
    <w:rsid w:val="00A71259"/>
    <w:rsid w:val="00A76ECA"/>
    <w:rsid w:val="00A82DE6"/>
    <w:rsid w:val="00A94E23"/>
    <w:rsid w:val="00A9708A"/>
    <w:rsid w:val="00A9756D"/>
    <w:rsid w:val="00AA0165"/>
    <w:rsid w:val="00AB3767"/>
    <w:rsid w:val="00AB6B1E"/>
    <w:rsid w:val="00AB74FA"/>
    <w:rsid w:val="00AC63D5"/>
    <w:rsid w:val="00AE1DCA"/>
    <w:rsid w:val="00AF7A3E"/>
    <w:rsid w:val="00B006E6"/>
    <w:rsid w:val="00B01865"/>
    <w:rsid w:val="00B12453"/>
    <w:rsid w:val="00B225DE"/>
    <w:rsid w:val="00B340FE"/>
    <w:rsid w:val="00B51487"/>
    <w:rsid w:val="00B52567"/>
    <w:rsid w:val="00B56FC0"/>
    <w:rsid w:val="00B60A6F"/>
    <w:rsid w:val="00B645B6"/>
    <w:rsid w:val="00B70A5E"/>
    <w:rsid w:val="00B7195A"/>
    <w:rsid w:val="00B7244F"/>
    <w:rsid w:val="00B72678"/>
    <w:rsid w:val="00B74EED"/>
    <w:rsid w:val="00B8080A"/>
    <w:rsid w:val="00B87999"/>
    <w:rsid w:val="00BA040F"/>
    <w:rsid w:val="00BA0D2D"/>
    <w:rsid w:val="00BA1BF9"/>
    <w:rsid w:val="00BA56B9"/>
    <w:rsid w:val="00BB0E89"/>
    <w:rsid w:val="00BC03DA"/>
    <w:rsid w:val="00BC666B"/>
    <w:rsid w:val="00BC70F0"/>
    <w:rsid w:val="00BD25C4"/>
    <w:rsid w:val="00BD6D8C"/>
    <w:rsid w:val="00BE1413"/>
    <w:rsid w:val="00BE379C"/>
    <w:rsid w:val="00BE3A3F"/>
    <w:rsid w:val="00BE616D"/>
    <w:rsid w:val="00BE7A05"/>
    <w:rsid w:val="00BE7DBC"/>
    <w:rsid w:val="00BF13A4"/>
    <w:rsid w:val="00BF4FA5"/>
    <w:rsid w:val="00C01BC8"/>
    <w:rsid w:val="00C01E92"/>
    <w:rsid w:val="00C031DC"/>
    <w:rsid w:val="00C0736B"/>
    <w:rsid w:val="00C124EB"/>
    <w:rsid w:val="00C142C1"/>
    <w:rsid w:val="00C25210"/>
    <w:rsid w:val="00C311A4"/>
    <w:rsid w:val="00C32D37"/>
    <w:rsid w:val="00C348DC"/>
    <w:rsid w:val="00C35465"/>
    <w:rsid w:val="00C622A5"/>
    <w:rsid w:val="00C6774C"/>
    <w:rsid w:val="00C7300E"/>
    <w:rsid w:val="00C76419"/>
    <w:rsid w:val="00C80761"/>
    <w:rsid w:val="00C91C82"/>
    <w:rsid w:val="00CA360D"/>
    <w:rsid w:val="00CA3B09"/>
    <w:rsid w:val="00CB048D"/>
    <w:rsid w:val="00CB155C"/>
    <w:rsid w:val="00CB3175"/>
    <w:rsid w:val="00CB425B"/>
    <w:rsid w:val="00CB6B3C"/>
    <w:rsid w:val="00CC0684"/>
    <w:rsid w:val="00CC135B"/>
    <w:rsid w:val="00CC2B09"/>
    <w:rsid w:val="00CE168A"/>
    <w:rsid w:val="00CE3518"/>
    <w:rsid w:val="00CF44D5"/>
    <w:rsid w:val="00CF53D4"/>
    <w:rsid w:val="00CF5A89"/>
    <w:rsid w:val="00D150FB"/>
    <w:rsid w:val="00D17D73"/>
    <w:rsid w:val="00D2171F"/>
    <w:rsid w:val="00D323A4"/>
    <w:rsid w:val="00D43332"/>
    <w:rsid w:val="00D46C11"/>
    <w:rsid w:val="00D47776"/>
    <w:rsid w:val="00D47ECC"/>
    <w:rsid w:val="00D54924"/>
    <w:rsid w:val="00D601D3"/>
    <w:rsid w:val="00D73B89"/>
    <w:rsid w:val="00D829BE"/>
    <w:rsid w:val="00D92D51"/>
    <w:rsid w:val="00D950BE"/>
    <w:rsid w:val="00D95B79"/>
    <w:rsid w:val="00DA0218"/>
    <w:rsid w:val="00DB68C7"/>
    <w:rsid w:val="00DC3D54"/>
    <w:rsid w:val="00DC42CD"/>
    <w:rsid w:val="00DE596B"/>
    <w:rsid w:val="00DF0126"/>
    <w:rsid w:val="00DF6F9F"/>
    <w:rsid w:val="00E04086"/>
    <w:rsid w:val="00E04AA8"/>
    <w:rsid w:val="00E0507A"/>
    <w:rsid w:val="00E054DA"/>
    <w:rsid w:val="00E15294"/>
    <w:rsid w:val="00E23C0E"/>
    <w:rsid w:val="00E269BC"/>
    <w:rsid w:val="00E423A7"/>
    <w:rsid w:val="00E46CDE"/>
    <w:rsid w:val="00E50A4A"/>
    <w:rsid w:val="00E65687"/>
    <w:rsid w:val="00E72E2A"/>
    <w:rsid w:val="00EA1742"/>
    <w:rsid w:val="00EA49AA"/>
    <w:rsid w:val="00EA4DA2"/>
    <w:rsid w:val="00EC0409"/>
    <w:rsid w:val="00EC3A9F"/>
    <w:rsid w:val="00EC4B06"/>
    <w:rsid w:val="00EC5E3B"/>
    <w:rsid w:val="00ED669F"/>
    <w:rsid w:val="00EE2992"/>
    <w:rsid w:val="00EE42B6"/>
    <w:rsid w:val="00EE5390"/>
    <w:rsid w:val="00EE61B7"/>
    <w:rsid w:val="00F2243F"/>
    <w:rsid w:val="00F25FE9"/>
    <w:rsid w:val="00F276B9"/>
    <w:rsid w:val="00F31B16"/>
    <w:rsid w:val="00F323F0"/>
    <w:rsid w:val="00F438C4"/>
    <w:rsid w:val="00F46A2F"/>
    <w:rsid w:val="00F64B82"/>
    <w:rsid w:val="00F669B1"/>
    <w:rsid w:val="00F77413"/>
    <w:rsid w:val="00F77CC6"/>
    <w:rsid w:val="00F8095E"/>
    <w:rsid w:val="00F81903"/>
    <w:rsid w:val="00F83CD7"/>
    <w:rsid w:val="00F868B4"/>
    <w:rsid w:val="00F97FDD"/>
    <w:rsid w:val="00FA026E"/>
    <w:rsid w:val="00FA557B"/>
    <w:rsid w:val="00FA6733"/>
    <w:rsid w:val="00FB09D4"/>
    <w:rsid w:val="00FC4DF3"/>
    <w:rsid w:val="00FD0377"/>
    <w:rsid w:val="00FD08C5"/>
    <w:rsid w:val="00FD233B"/>
    <w:rsid w:val="00FD6A34"/>
    <w:rsid w:val="00FE1FD0"/>
    <w:rsid w:val="00FE4579"/>
    <w:rsid w:val="00FF4F0B"/>
    <w:rsid w:val="00FF54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3C058"/>
  <w15:docId w15:val="{EE640AF6-7629-4F22-AC9D-1F3FF778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541DF"/>
    <w:pPr>
      <w:spacing w:line="240" w:lineRule="auto"/>
    </w:pPr>
  </w:style>
  <w:style w:type="paragraph" w:styleId="Heading1">
    <w:name w:val="heading 1"/>
    <w:basedOn w:val="Normal"/>
    <w:next w:val="Normal"/>
    <w:link w:val="Heading1Char"/>
    <w:uiPriority w:val="9"/>
    <w:qFormat/>
    <w:rsid w:val="000730CF"/>
    <w:pPr>
      <w:keepNext/>
      <w:keepLines/>
      <w:pBdr>
        <w:top w:val="single" w:sz="12" w:space="1" w:color="702F8A"/>
      </w:pBdr>
      <w:spacing w:after="240"/>
      <w:outlineLvl w:val="0"/>
    </w:pPr>
    <w:rPr>
      <w:rFonts w:eastAsiaTheme="majorEastAsia" w:cstheme="majorBidi"/>
      <w:sz w:val="52"/>
      <w:szCs w:val="32"/>
    </w:rPr>
  </w:style>
  <w:style w:type="paragraph" w:styleId="Heading2">
    <w:name w:val="heading 2"/>
    <w:aliases w:val="LO Heading"/>
    <w:basedOn w:val="Normal"/>
    <w:next w:val="Normal"/>
    <w:link w:val="Heading2Char"/>
    <w:uiPriority w:val="9"/>
    <w:unhideWhenUsed/>
    <w:qFormat/>
    <w:rsid w:val="00392B0B"/>
    <w:pPr>
      <w:keepNext/>
      <w:keepLines/>
      <w:spacing w:after="80"/>
      <w:outlineLvl w:val="1"/>
    </w:pPr>
    <w:rPr>
      <w:rFonts w:eastAsiaTheme="majorEastAsia" w:cstheme="majorBidi"/>
      <w:color w:val="702F8A"/>
      <w:sz w:val="28"/>
      <w:szCs w:val="26"/>
    </w:rPr>
  </w:style>
  <w:style w:type="paragraph" w:styleId="Heading3">
    <w:name w:val="heading 3"/>
    <w:basedOn w:val="Normal"/>
    <w:next w:val="Normal"/>
    <w:link w:val="Heading3Char"/>
    <w:uiPriority w:val="9"/>
    <w:unhideWhenUsed/>
    <w:qFormat/>
    <w:rsid w:val="00A71259"/>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rsid w:val="00976267"/>
    <w:pPr>
      <w:keepNext/>
      <w:keepLines/>
      <w:spacing w:after="80"/>
      <w:outlineLvl w:val="3"/>
    </w:pPr>
    <w:rPr>
      <w:rFonts w:asciiTheme="majorHAnsi" w:eastAsiaTheme="majorEastAsia" w:hAnsiTheme="majorHAnsi" w:cstheme="majorBidi"/>
      <w:iCs/>
      <w:color w:val="CD26A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heading">
    <w:name w:val="Front page heading"/>
    <w:basedOn w:val="Normal"/>
    <w:link w:val="FrontpageheadingChar"/>
    <w:qFormat/>
    <w:rsid w:val="000730CF"/>
    <w:pPr>
      <w:pBdr>
        <w:top w:val="single" w:sz="12" w:space="1" w:color="702F8A"/>
      </w:pBdr>
      <w:spacing w:after="360"/>
    </w:pPr>
    <w:rPr>
      <w:sz w:val="76"/>
    </w:rPr>
  </w:style>
  <w:style w:type="paragraph" w:customStyle="1" w:styleId="NoParagraphStyle">
    <w:name w:val="[No Paragraph Style]"/>
    <w:rsid w:val="00F77413"/>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FrontpageheadingChar">
    <w:name w:val="Front page heading Char"/>
    <w:basedOn w:val="DefaultParagraphFont"/>
    <w:link w:val="Frontpageheading"/>
    <w:rsid w:val="000730CF"/>
    <w:rPr>
      <w:sz w:val="76"/>
    </w:rPr>
  </w:style>
  <w:style w:type="paragraph" w:customStyle="1" w:styleId="BasicParagraph">
    <w:name w:val="[Basic Paragraph]"/>
    <w:basedOn w:val="NoParagraphStyle"/>
    <w:uiPriority w:val="99"/>
    <w:rsid w:val="00F77413"/>
  </w:style>
  <w:style w:type="paragraph" w:customStyle="1" w:styleId="Qaultile">
    <w:name w:val="Qaul tile"/>
    <w:basedOn w:val="Frontpageheading"/>
    <w:link w:val="QaultileChar"/>
    <w:qFormat/>
    <w:rsid w:val="005A39CB"/>
    <w:pPr>
      <w:pBdr>
        <w:top w:val="none" w:sz="0" w:space="0" w:color="auto"/>
      </w:pBdr>
      <w:spacing w:after="60"/>
    </w:pPr>
    <w:rPr>
      <w:sz w:val="40"/>
    </w:rPr>
  </w:style>
  <w:style w:type="paragraph" w:customStyle="1" w:styleId="QN">
    <w:name w:val="QN"/>
    <w:basedOn w:val="Qaultile"/>
    <w:link w:val="QNChar"/>
    <w:qFormat/>
    <w:rsid w:val="005A39CB"/>
    <w:rPr>
      <w:color w:val="AEAAAA" w:themeColor="background2" w:themeShade="BF"/>
      <w:sz w:val="36"/>
    </w:rPr>
  </w:style>
  <w:style w:type="character" w:customStyle="1" w:styleId="QaultileChar">
    <w:name w:val="Qaul tile Char"/>
    <w:basedOn w:val="FrontpageheadingChar"/>
    <w:link w:val="Qaultile"/>
    <w:rsid w:val="005A39CB"/>
    <w:rPr>
      <w:sz w:val="40"/>
    </w:rPr>
  </w:style>
  <w:style w:type="paragraph" w:styleId="Header">
    <w:name w:val="header"/>
    <w:basedOn w:val="Normal"/>
    <w:link w:val="HeaderChar"/>
    <w:uiPriority w:val="99"/>
    <w:unhideWhenUsed/>
    <w:rsid w:val="005B5965"/>
    <w:pPr>
      <w:tabs>
        <w:tab w:val="center" w:pos="4513"/>
        <w:tab w:val="right" w:pos="9026"/>
      </w:tabs>
      <w:spacing w:after="0"/>
    </w:pPr>
  </w:style>
  <w:style w:type="character" w:customStyle="1" w:styleId="QNChar">
    <w:name w:val="QN Char"/>
    <w:basedOn w:val="QaultileChar"/>
    <w:link w:val="QN"/>
    <w:rsid w:val="005A39CB"/>
    <w:rPr>
      <w:color w:val="AEAAAA" w:themeColor="background2" w:themeShade="BF"/>
      <w:sz w:val="36"/>
    </w:rPr>
  </w:style>
  <w:style w:type="character" w:customStyle="1" w:styleId="HeaderChar">
    <w:name w:val="Header Char"/>
    <w:basedOn w:val="DefaultParagraphFont"/>
    <w:link w:val="Header"/>
    <w:uiPriority w:val="99"/>
    <w:rsid w:val="005B5965"/>
  </w:style>
  <w:style w:type="paragraph" w:styleId="Footer">
    <w:name w:val="footer"/>
    <w:basedOn w:val="Normal"/>
    <w:link w:val="FooterChar"/>
    <w:uiPriority w:val="99"/>
    <w:unhideWhenUsed/>
    <w:rsid w:val="005B5965"/>
    <w:pPr>
      <w:tabs>
        <w:tab w:val="center" w:pos="4513"/>
        <w:tab w:val="right" w:pos="9026"/>
      </w:tabs>
      <w:spacing w:after="0"/>
    </w:pPr>
  </w:style>
  <w:style w:type="character" w:customStyle="1" w:styleId="FooterChar">
    <w:name w:val="Footer Char"/>
    <w:basedOn w:val="DefaultParagraphFont"/>
    <w:link w:val="Footer"/>
    <w:uiPriority w:val="99"/>
    <w:rsid w:val="005B5965"/>
  </w:style>
  <w:style w:type="paragraph" w:customStyle="1" w:styleId="Headings">
    <w:name w:val="Headings"/>
    <w:basedOn w:val="Normal"/>
    <w:link w:val="HeadingsChar"/>
    <w:rsid w:val="00CB425B"/>
    <w:pPr>
      <w:pBdr>
        <w:top w:val="single" w:sz="12" w:space="1" w:color="CD26AF"/>
      </w:pBdr>
      <w:spacing w:after="240"/>
    </w:pPr>
    <w:rPr>
      <w:sz w:val="52"/>
    </w:rPr>
  </w:style>
  <w:style w:type="paragraph" w:customStyle="1" w:styleId="Default">
    <w:name w:val="Default"/>
    <w:rsid w:val="00CB425B"/>
    <w:pPr>
      <w:autoSpaceDE w:val="0"/>
      <w:autoSpaceDN w:val="0"/>
      <w:adjustRightInd w:val="0"/>
      <w:spacing w:after="0" w:line="240" w:lineRule="auto"/>
    </w:pPr>
    <w:rPr>
      <w:rFonts w:ascii="Arial" w:hAnsi="Arial" w:cs="Arial"/>
      <w:color w:val="000000"/>
      <w:sz w:val="24"/>
      <w:szCs w:val="24"/>
    </w:rPr>
  </w:style>
  <w:style w:type="character" w:customStyle="1" w:styleId="HeadingsChar">
    <w:name w:val="Headings Char"/>
    <w:basedOn w:val="DefaultParagraphFont"/>
    <w:link w:val="Headings"/>
    <w:rsid w:val="00CB425B"/>
    <w:rPr>
      <w:sz w:val="52"/>
    </w:rPr>
  </w:style>
  <w:style w:type="paragraph" w:customStyle="1" w:styleId="Headings2">
    <w:name w:val="Headings 2"/>
    <w:basedOn w:val="Normal"/>
    <w:link w:val="Headings2Char"/>
    <w:rsid w:val="00CB425B"/>
    <w:pPr>
      <w:spacing w:after="80"/>
    </w:pPr>
    <w:rPr>
      <w:color w:val="CD26AF"/>
      <w:sz w:val="28"/>
    </w:rPr>
  </w:style>
  <w:style w:type="paragraph" w:styleId="ListParagraph">
    <w:name w:val="List Paragraph"/>
    <w:basedOn w:val="Normal"/>
    <w:link w:val="ListParagraphChar"/>
    <w:uiPriority w:val="34"/>
    <w:qFormat/>
    <w:rsid w:val="00161E31"/>
    <w:pPr>
      <w:ind w:left="720"/>
      <w:contextualSpacing/>
    </w:pPr>
  </w:style>
  <w:style w:type="character" w:customStyle="1" w:styleId="Headings2Char">
    <w:name w:val="Headings 2 Char"/>
    <w:basedOn w:val="DefaultParagraphFont"/>
    <w:link w:val="Headings2"/>
    <w:rsid w:val="00CB425B"/>
    <w:rPr>
      <w:color w:val="CD26AF"/>
      <w:sz w:val="28"/>
    </w:rPr>
  </w:style>
  <w:style w:type="paragraph" w:customStyle="1" w:styleId="Bullet">
    <w:name w:val="Bullet"/>
    <w:basedOn w:val="ListParagraph"/>
    <w:link w:val="BulletChar"/>
    <w:qFormat/>
    <w:rsid w:val="001E6F80"/>
    <w:pPr>
      <w:numPr>
        <w:numId w:val="1"/>
      </w:numPr>
      <w:spacing w:after="0"/>
      <w:ind w:left="357" w:hanging="357"/>
    </w:pPr>
  </w:style>
  <w:style w:type="character" w:customStyle="1" w:styleId="Heading1Char">
    <w:name w:val="Heading 1 Char"/>
    <w:basedOn w:val="DefaultParagraphFont"/>
    <w:link w:val="Heading1"/>
    <w:uiPriority w:val="9"/>
    <w:rsid w:val="000730CF"/>
    <w:rPr>
      <w:rFonts w:eastAsiaTheme="majorEastAsia" w:cstheme="majorBidi"/>
      <w:sz w:val="52"/>
      <w:szCs w:val="32"/>
    </w:rPr>
  </w:style>
  <w:style w:type="character" w:customStyle="1" w:styleId="ListParagraphChar">
    <w:name w:val="List Paragraph Char"/>
    <w:basedOn w:val="DefaultParagraphFont"/>
    <w:link w:val="ListParagraph"/>
    <w:uiPriority w:val="34"/>
    <w:rsid w:val="00161E31"/>
  </w:style>
  <w:style w:type="character" w:customStyle="1" w:styleId="BulletChar">
    <w:name w:val="Bullet Char"/>
    <w:basedOn w:val="ListParagraphChar"/>
    <w:link w:val="Bullet"/>
    <w:rsid w:val="001E6F80"/>
  </w:style>
  <w:style w:type="paragraph" w:styleId="TOCHeading">
    <w:name w:val="TOC Heading"/>
    <w:basedOn w:val="Heading1"/>
    <w:next w:val="Normal"/>
    <w:uiPriority w:val="39"/>
    <w:unhideWhenUsed/>
    <w:qFormat/>
    <w:rsid w:val="003174B1"/>
    <w:pPr>
      <w:outlineLvl w:val="9"/>
    </w:pPr>
    <w:rPr>
      <w:lang w:val="en-US"/>
    </w:rPr>
  </w:style>
  <w:style w:type="paragraph" w:styleId="TOC2">
    <w:name w:val="toc 2"/>
    <w:basedOn w:val="Normal"/>
    <w:next w:val="Normal"/>
    <w:autoRedefine/>
    <w:uiPriority w:val="39"/>
    <w:unhideWhenUsed/>
    <w:rsid w:val="003174B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3174B1"/>
    <w:pPr>
      <w:spacing w:after="100"/>
    </w:pPr>
    <w:rPr>
      <w:rFonts w:eastAsiaTheme="minorEastAsia" w:cs="Times New Roman"/>
      <w:lang w:val="en-US"/>
    </w:rPr>
  </w:style>
  <w:style w:type="paragraph" w:styleId="TOC3">
    <w:name w:val="toc 3"/>
    <w:basedOn w:val="Normal"/>
    <w:next w:val="Normal"/>
    <w:autoRedefine/>
    <w:uiPriority w:val="39"/>
    <w:unhideWhenUsed/>
    <w:rsid w:val="003174B1"/>
    <w:pPr>
      <w:spacing w:after="100"/>
      <w:ind w:left="440"/>
    </w:pPr>
    <w:rPr>
      <w:rFonts w:eastAsiaTheme="minorEastAsia" w:cs="Times New Roman"/>
      <w:lang w:val="en-US"/>
    </w:rPr>
  </w:style>
  <w:style w:type="table" w:styleId="TableGrid">
    <w:name w:val="Table Grid"/>
    <w:basedOn w:val="TableNormal"/>
    <w:uiPriority w:val="39"/>
    <w:rsid w:val="00317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4B1"/>
    <w:rPr>
      <w:color w:val="0563C1" w:themeColor="hyperlink"/>
      <w:u w:val="single"/>
    </w:rPr>
  </w:style>
  <w:style w:type="character" w:customStyle="1" w:styleId="Heading2Char">
    <w:name w:val="Heading 2 Char"/>
    <w:aliases w:val="LO Heading Char"/>
    <w:basedOn w:val="DefaultParagraphFont"/>
    <w:link w:val="Heading2"/>
    <w:uiPriority w:val="9"/>
    <w:rsid w:val="00392B0B"/>
    <w:rPr>
      <w:rFonts w:eastAsiaTheme="majorEastAsia" w:cstheme="majorBidi"/>
      <w:color w:val="702F8A"/>
      <w:sz w:val="28"/>
      <w:szCs w:val="26"/>
    </w:rPr>
  </w:style>
  <w:style w:type="paragraph" w:customStyle="1" w:styleId="bodytextbold">
    <w:name w:val="body text bold"/>
    <w:basedOn w:val="Normal"/>
    <w:link w:val="bodytextboldChar"/>
    <w:rsid w:val="003F2255"/>
    <w:pPr>
      <w:spacing w:after="80"/>
    </w:pPr>
    <w:rPr>
      <w:rFonts w:cs="Arial"/>
      <w:color w:val="CD26AF"/>
    </w:rPr>
  </w:style>
  <w:style w:type="character" w:customStyle="1" w:styleId="bodytextboldChar">
    <w:name w:val="body text bold Char"/>
    <w:basedOn w:val="DefaultParagraphFont"/>
    <w:link w:val="bodytextbold"/>
    <w:rsid w:val="003F2255"/>
    <w:rPr>
      <w:rFonts w:cs="Arial"/>
      <w:color w:val="CD26AF"/>
    </w:rPr>
  </w:style>
  <w:style w:type="character" w:customStyle="1" w:styleId="Title1Char">
    <w:name w:val="Title 1 Char"/>
    <w:basedOn w:val="DefaultParagraphFont"/>
    <w:link w:val="Title1"/>
    <w:locked/>
    <w:rsid w:val="00195B44"/>
    <w:rPr>
      <w:rFonts w:ascii="Arial" w:eastAsiaTheme="majorEastAsia" w:hAnsi="Arial" w:cstheme="majorBidi"/>
      <w:color w:val="6A2C91"/>
      <w:sz w:val="44"/>
      <w:szCs w:val="32"/>
    </w:rPr>
  </w:style>
  <w:style w:type="paragraph" w:customStyle="1" w:styleId="Title1">
    <w:name w:val="Title 1"/>
    <w:basedOn w:val="Heading1"/>
    <w:link w:val="Title1Char"/>
    <w:autoRedefine/>
    <w:rsid w:val="00195B44"/>
    <w:pPr>
      <w:pBdr>
        <w:top w:val="none" w:sz="0" w:space="0" w:color="auto"/>
        <w:bottom w:val="single" w:sz="4" w:space="1" w:color="6A2C91"/>
      </w:pBdr>
      <w:spacing w:after="120"/>
    </w:pPr>
    <w:rPr>
      <w:rFonts w:ascii="Arial" w:hAnsi="Arial"/>
      <w:color w:val="6A2C91"/>
      <w:sz w:val="44"/>
    </w:rPr>
  </w:style>
  <w:style w:type="character" w:customStyle="1" w:styleId="Heading3Char">
    <w:name w:val="Heading 3 Char"/>
    <w:basedOn w:val="DefaultParagraphFont"/>
    <w:link w:val="Heading3"/>
    <w:uiPriority w:val="9"/>
    <w:rsid w:val="00A71259"/>
    <w:rPr>
      <w:rFonts w:eastAsiaTheme="majorEastAsia" w:cstheme="majorBidi"/>
      <w:sz w:val="24"/>
      <w:szCs w:val="24"/>
    </w:rPr>
  </w:style>
  <w:style w:type="character" w:customStyle="1" w:styleId="BulletedtextChar">
    <w:name w:val="Bulleted text Char"/>
    <w:basedOn w:val="DefaultParagraphFont"/>
    <w:link w:val="Bulletedtext"/>
    <w:locked/>
    <w:rsid w:val="003C5251"/>
    <w:rPr>
      <w:rFonts w:ascii="Arial" w:hAnsi="Arial" w:cs="Arial"/>
    </w:rPr>
  </w:style>
  <w:style w:type="paragraph" w:customStyle="1" w:styleId="Bulletedtext">
    <w:name w:val="Bulleted text"/>
    <w:basedOn w:val="Normal"/>
    <w:link w:val="BulletedtextChar"/>
    <w:autoRedefine/>
    <w:rsid w:val="003C5251"/>
    <w:pPr>
      <w:numPr>
        <w:numId w:val="2"/>
      </w:numPr>
      <w:spacing w:after="0"/>
    </w:pPr>
    <w:rPr>
      <w:rFonts w:ascii="Arial" w:hAnsi="Arial" w:cs="Arial"/>
    </w:rPr>
  </w:style>
  <w:style w:type="character" w:customStyle="1" w:styleId="Heading4Char">
    <w:name w:val="Heading 4 Char"/>
    <w:basedOn w:val="DefaultParagraphFont"/>
    <w:link w:val="Heading4"/>
    <w:uiPriority w:val="9"/>
    <w:rsid w:val="00976267"/>
    <w:rPr>
      <w:rFonts w:asciiTheme="majorHAnsi" w:eastAsiaTheme="majorEastAsia" w:hAnsiTheme="majorHAnsi" w:cstheme="majorBidi"/>
      <w:iCs/>
      <w:color w:val="CD26AF"/>
    </w:rPr>
  </w:style>
  <w:style w:type="paragraph" w:customStyle="1" w:styleId="LO">
    <w:name w:val="LO"/>
    <w:basedOn w:val="Normal"/>
    <w:link w:val="LOChar"/>
    <w:qFormat/>
    <w:rsid w:val="00325637"/>
    <w:pPr>
      <w:spacing w:after="80"/>
    </w:pPr>
  </w:style>
  <w:style w:type="paragraph" w:customStyle="1" w:styleId="numberheading">
    <w:name w:val="number heading"/>
    <w:basedOn w:val="Bullet"/>
    <w:link w:val="numberheadingChar"/>
    <w:qFormat/>
    <w:rsid w:val="00A71259"/>
    <w:pPr>
      <w:numPr>
        <w:numId w:val="4"/>
      </w:numPr>
      <w:spacing w:after="120"/>
      <w:ind w:left="357" w:hanging="357"/>
    </w:pPr>
    <w:rPr>
      <w:sz w:val="32"/>
    </w:rPr>
  </w:style>
  <w:style w:type="character" w:customStyle="1" w:styleId="LOChar">
    <w:name w:val="LO Char"/>
    <w:basedOn w:val="DefaultParagraphFont"/>
    <w:link w:val="LO"/>
    <w:rsid w:val="00325637"/>
  </w:style>
  <w:style w:type="paragraph" w:customStyle="1" w:styleId="Bullet2">
    <w:name w:val="Bullet 2"/>
    <w:link w:val="Bullet2Char"/>
    <w:qFormat/>
    <w:rsid w:val="00DB68C7"/>
    <w:pPr>
      <w:numPr>
        <w:numId w:val="5"/>
      </w:numPr>
      <w:spacing w:after="40"/>
      <w:ind w:left="1077" w:hanging="357"/>
    </w:pPr>
  </w:style>
  <w:style w:type="character" w:customStyle="1" w:styleId="numberheadingChar">
    <w:name w:val="number heading Char"/>
    <w:basedOn w:val="BulletChar"/>
    <w:link w:val="numberheading"/>
    <w:rsid w:val="00A71259"/>
    <w:rPr>
      <w:sz w:val="32"/>
    </w:rPr>
  </w:style>
  <w:style w:type="paragraph" w:customStyle="1" w:styleId="Bullet1">
    <w:name w:val="Bullet 1"/>
    <w:basedOn w:val="Default"/>
    <w:link w:val="Bullet1Char"/>
    <w:rsid w:val="00B006E6"/>
    <w:pPr>
      <w:numPr>
        <w:numId w:val="6"/>
      </w:numPr>
    </w:pPr>
    <w:rPr>
      <w:rFonts w:eastAsia="Times New Roman"/>
      <w:color w:val="auto"/>
      <w:sz w:val="22"/>
      <w:szCs w:val="22"/>
      <w:lang w:eastAsia="en-GB"/>
    </w:rPr>
  </w:style>
  <w:style w:type="character" w:customStyle="1" w:styleId="Bullet2Char">
    <w:name w:val="Bullet 2 Char"/>
    <w:basedOn w:val="BulletChar"/>
    <w:link w:val="Bullet2"/>
    <w:rsid w:val="00DB68C7"/>
  </w:style>
  <w:style w:type="paragraph" w:styleId="NoSpacing">
    <w:name w:val="No Spacing"/>
    <w:basedOn w:val="Bullet1"/>
    <w:uiPriority w:val="1"/>
    <w:rsid w:val="00B006E6"/>
    <w:pPr>
      <w:numPr>
        <w:ilvl w:val="1"/>
      </w:numPr>
      <w:ind w:left="1080"/>
    </w:pPr>
  </w:style>
  <w:style w:type="character" w:customStyle="1" w:styleId="Bullet1Char">
    <w:name w:val="Bullet 1 Char"/>
    <w:link w:val="Bullet1"/>
    <w:rsid w:val="00B006E6"/>
    <w:rPr>
      <w:rFonts w:ascii="Arial" w:eastAsia="Times New Roman" w:hAnsi="Arial" w:cs="Arial"/>
      <w:lang w:eastAsia="en-GB"/>
    </w:rPr>
  </w:style>
  <w:style w:type="paragraph" w:customStyle="1" w:styleId="Bulletwithspace">
    <w:name w:val="Bullet with space"/>
    <w:basedOn w:val="Bullet"/>
    <w:link w:val="BulletwithspaceChar"/>
    <w:rsid w:val="00B006E6"/>
    <w:pPr>
      <w:spacing w:after="80"/>
    </w:pPr>
  </w:style>
  <w:style w:type="paragraph" w:customStyle="1" w:styleId="Bullet3">
    <w:name w:val="Bullet 3"/>
    <w:basedOn w:val="NoParagraphStyle"/>
    <w:link w:val="Bullet3Char"/>
    <w:rsid w:val="00A00691"/>
    <w:pPr>
      <w:spacing w:after="80"/>
    </w:pPr>
    <w:rPr>
      <w:rFonts w:asciiTheme="minorHAnsi" w:hAnsiTheme="minorHAnsi"/>
      <w:sz w:val="22"/>
    </w:rPr>
  </w:style>
  <w:style w:type="character" w:customStyle="1" w:styleId="BulletwithspaceChar">
    <w:name w:val="Bullet with space Char"/>
    <w:basedOn w:val="BulletChar"/>
    <w:link w:val="Bulletwithspace"/>
    <w:rsid w:val="00B006E6"/>
  </w:style>
  <w:style w:type="character" w:customStyle="1" w:styleId="Bullet3Char">
    <w:name w:val="Bullet 3 Char"/>
    <w:basedOn w:val="BulletwithspaceChar"/>
    <w:link w:val="Bullet3"/>
    <w:rsid w:val="00A00691"/>
    <w:rPr>
      <w:rFonts w:cs="Minion Pro"/>
      <w:color w:val="000000"/>
      <w:szCs w:val="24"/>
    </w:rPr>
  </w:style>
  <w:style w:type="paragraph" w:customStyle="1" w:styleId="Boldstatement">
    <w:name w:val="Bold statement"/>
    <w:basedOn w:val="Normal"/>
    <w:link w:val="BoldstatementChar"/>
    <w:qFormat/>
    <w:rsid w:val="008154B8"/>
    <w:pPr>
      <w:spacing w:after="0"/>
    </w:pPr>
    <w:rPr>
      <w:b/>
    </w:rPr>
  </w:style>
  <w:style w:type="character" w:customStyle="1" w:styleId="BoldstatementChar">
    <w:name w:val="Bold statement Char"/>
    <w:basedOn w:val="DefaultParagraphFont"/>
    <w:link w:val="Boldstatement"/>
    <w:rsid w:val="008154B8"/>
    <w:rPr>
      <w:b/>
    </w:rPr>
  </w:style>
  <w:style w:type="paragraph" w:styleId="BalloonText">
    <w:name w:val="Balloon Text"/>
    <w:basedOn w:val="Normal"/>
    <w:link w:val="BalloonTextChar"/>
    <w:uiPriority w:val="99"/>
    <w:semiHidden/>
    <w:unhideWhenUsed/>
    <w:rsid w:val="005538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81E"/>
    <w:rPr>
      <w:rFonts w:ascii="Segoe UI" w:hAnsi="Segoe UI" w:cs="Segoe UI"/>
      <w:sz w:val="18"/>
      <w:szCs w:val="18"/>
    </w:rPr>
  </w:style>
  <w:style w:type="character" w:styleId="CommentReference">
    <w:name w:val="annotation reference"/>
    <w:basedOn w:val="DefaultParagraphFont"/>
    <w:uiPriority w:val="99"/>
    <w:semiHidden/>
    <w:unhideWhenUsed/>
    <w:rsid w:val="00095EA6"/>
    <w:rPr>
      <w:sz w:val="16"/>
      <w:szCs w:val="16"/>
    </w:rPr>
  </w:style>
  <w:style w:type="paragraph" w:styleId="CommentText">
    <w:name w:val="annotation text"/>
    <w:basedOn w:val="Normal"/>
    <w:link w:val="CommentTextChar"/>
    <w:uiPriority w:val="99"/>
    <w:semiHidden/>
    <w:unhideWhenUsed/>
    <w:rsid w:val="00095EA6"/>
    <w:rPr>
      <w:sz w:val="20"/>
      <w:szCs w:val="20"/>
    </w:rPr>
  </w:style>
  <w:style w:type="character" w:customStyle="1" w:styleId="CommentTextChar">
    <w:name w:val="Comment Text Char"/>
    <w:basedOn w:val="DefaultParagraphFont"/>
    <w:link w:val="CommentText"/>
    <w:uiPriority w:val="99"/>
    <w:semiHidden/>
    <w:rsid w:val="00095EA6"/>
    <w:rPr>
      <w:sz w:val="20"/>
      <w:szCs w:val="20"/>
    </w:rPr>
  </w:style>
  <w:style w:type="paragraph" w:styleId="CommentSubject">
    <w:name w:val="annotation subject"/>
    <w:basedOn w:val="CommentText"/>
    <w:next w:val="CommentText"/>
    <w:link w:val="CommentSubjectChar"/>
    <w:uiPriority w:val="99"/>
    <w:semiHidden/>
    <w:unhideWhenUsed/>
    <w:rsid w:val="00095EA6"/>
    <w:rPr>
      <w:b/>
      <w:bCs/>
    </w:rPr>
  </w:style>
  <w:style w:type="character" w:customStyle="1" w:styleId="CommentSubjectChar">
    <w:name w:val="Comment Subject Char"/>
    <w:basedOn w:val="CommentTextChar"/>
    <w:link w:val="CommentSubject"/>
    <w:uiPriority w:val="99"/>
    <w:semiHidden/>
    <w:rsid w:val="00095EA6"/>
    <w:rPr>
      <w:b/>
      <w:bCs/>
      <w:sz w:val="20"/>
      <w:szCs w:val="20"/>
    </w:rPr>
  </w:style>
  <w:style w:type="character" w:styleId="Strong">
    <w:name w:val="Strong"/>
    <w:basedOn w:val="DefaultParagraphFont"/>
    <w:uiPriority w:val="22"/>
    <w:qFormat/>
    <w:rsid w:val="00420AE9"/>
    <w:rPr>
      <w:b/>
      <w:bCs/>
    </w:rPr>
  </w:style>
  <w:style w:type="character" w:styleId="Emphasis">
    <w:name w:val="Emphasis"/>
    <w:basedOn w:val="DefaultParagraphFont"/>
    <w:uiPriority w:val="20"/>
    <w:qFormat/>
    <w:rsid w:val="00420AE9"/>
    <w:rPr>
      <w:i/>
      <w:iCs/>
    </w:rPr>
  </w:style>
  <w:style w:type="paragraph" w:styleId="Revision">
    <w:name w:val="Revision"/>
    <w:hidden/>
    <w:uiPriority w:val="99"/>
    <w:semiHidden/>
    <w:rsid w:val="005F248E"/>
    <w:pPr>
      <w:spacing w:after="0" w:line="240" w:lineRule="auto"/>
    </w:pPr>
  </w:style>
  <w:style w:type="character" w:styleId="FollowedHyperlink">
    <w:name w:val="FollowedHyperlink"/>
    <w:basedOn w:val="DefaultParagraphFont"/>
    <w:uiPriority w:val="99"/>
    <w:semiHidden/>
    <w:unhideWhenUsed/>
    <w:rsid w:val="00DB68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666060">
      <w:bodyDiv w:val="1"/>
      <w:marLeft w:val="0"/>
      <w:marRight w:val="0"/>
      <w:marTop w:val="0"/>
      <w:marBottom w:val="0"/>
      <w:divBdr>
        <w:top w:val="none" w:sz="0" w:space="0" w:color="auto"/>
        <w:left w:val="none" w:sz="0" w:space="0" w:color="auto"/>
        <w:bottom w:val="none" w:sz="0" w:space="0" w:color="auto"/>
        <w:right w:val="none" w:sz="0" w:space="0" w:color="auto"/>
      </w:divBdr>
      <w:divsChild>
        <w:div w:id="1507091429">
          <w:marLeft w:val="0"/>
          <w:marRight w:val="0"/>
          <w:marTop w:val="0"/>
          <w:marBottom w:val="0"/>
          <w:divBdr>
            <w:top w:val="none" w:sz="0" w:space="0" w:color="auto"/>
            <w:left w:val="none" w:sz="0" w:space="0" w:color="auto"/>
            <w:bottom w:val="none" w:sz="0" w:space="0" w:color="auto"/>
            <w:right w:val="none" w:sz="0" w:space="0" w:color="auto"/>
          </w:divBdr>
          <w:divsChild>
            <w:div w:id="1794594738">
              <w:marLeft w:val="0"/>
              <w:marRight w:val="0"/>
              <w:marTop w:val="0"/>
              <w:marBottom w:val="0"/>
              <w:divBdr>
                <w:top w:val="none" w:sz="0" w:space="0" w:color="auto"/>
                <w:left w:val="none" w:sz="0" w:space="0" w:color="auto"/>
                <w:bottom w:val="none" w:sz="0" w:space="0" w:color="auto"/>
                <w:right w:val="none" w:sz="0" w:space="0" w:color="auto"/>
              </w:divBdr>
              <w:divsChild>
                <w:div w:id="1272476049">
                  <w:marLeft w:val="0"/>
                  <w:marRight w:val="0"/>
                  <w:marTop w:val="0"/>
                  <w:marBottom w:val="0"/>
                  <w:divBdr>
                    <w:top w:val="none" w:sz="0" w:space="0" w:color="auto"/>
                    <w:left w:val="none" w:sz="0" w:space="0" w:color="auto"/>
                    <w:bottom w:val="none" w:sz="0" w:space="0" w:color="auto"/>
                    <w:right w:val="none" w:sz="0" w:space="0" w:color="auto"/>
                  </w:divBdr>
                  <w:divsChild>
                    <w:div w:id="1613971899">
                      <w:marLeft w:val="0"/>
                      <w:marRight w:val="0"/>
                      <w:marTop w:val="0"/>
                      <w:marBottom w:val="0"/>
                      <w:divBdr>
                        <w:top w:val="none" w:sz="0" w:space="0" w:color="auto"/>
                        <w:left w:val="none" w:sz="0" w:space="0" w:color="auto"/>
                        <w:bottom w:val="none" w:sz="0" w:space="0" w:color="auto"/>
                        <w:right w:val="none" w:sz="0" w:space="0" w:color="auto"/>
                      </w:divBdr>
                      <w:divsChild>
                        <w:div w:id="1761222140">
                          <w:marLeft w:val="0"/>
                          <w:marRight w:val="0"/>
                          <w:marTop w:val="0"/>
                          <w:marBottom w:val="0"/>
                          <w:divBdr>
                            <w:top w:val="none" w:sz="0" w:space="0" w:color="auto"/>
                            <w:left w:val="none" w:sz="0" w:space="0" w:color="auto"/>
                            <w:bottom w:val="none" w:sz="0" w:space="0" w:color="auto"/>
                            <w:right w:val="none" w:sz="0" w:space="0" w:color="auto"/>
                          </w:divBdr>
                          <w:divsChild>
                            <w:div w:id="1071655511">
                              <w:marLeft w:val="2070"/>
                              <w:marRight w:val="3960"/>
                              <w:marTop w:val="0"/>
                              <w:marBottom w:val="0"/>
                              <w:divBdr>
                                <w:top w:val="none" w:sz="0" w:space="0" w:color="auto"/>
                                <w:left w:val="none" w:sz="0" w:space="0" w:color="auto"/>
                                <w:bottom w:val="none" w:sz="0" w:space="0" w:color="auto"/>
                                <w:right w:val="none" w:sz="0" w:space="0" w:color="auto"/>
                              </w:divBdr>
                              <w:divsChild>
                                <w:div w:id="2084913528">
                                  <w:marLeft w:val="0"/>
                                  <w:marRight w:val="0"/>
                                  <w:marTop w:val="0"/>
                                  <w:marBottom w:val="0"/>
                                  <w:divBdr>
                                    <w:top w:val="none" w:sz="0" w:space="0" w:color="auto"/>
                                    <w:left w:val="none" w:sz="0" w:space="0" w:color="auto"/>
                                    <w:bottom w:val="none" w:sz="0" w:space="0" w:color="auto"/>
                                    <w:right w:val="none" w:sz="0" w:space="0" w:color="auto"/>
                                  </w:divBdr>
                                  <w:divsChild>
                                    <w:div w:id="1168442408">
                                      <w:marLeft w:val="0"/>
                                      <w:marRight w:val="0"/>
                                      <w:marTop w:val="0"/>
                                      <w:marBottom w:val="0"/>
                                      <w:divBdr>
                                        <w:top w:val="none" w:sz="0" w:space="0" w:color="auto"/>
                                        <w:left w:val="none" w:sz="0" w:space="0" w:color="auto"/>
                                        <w:bottom w:val="none" w:sz="0" w:space="0" w:color="auto"/>
                                        <w:right w:val="none" w:sz="0" w:space="0" w:color="auto"/>
                                      </w:divBdr>
                                      <w:divsChild>
                                        <w:div w:id="1218782973">
                                          <w:marLeft w:val="0"/>
                                          <w:marRight w:val="0"/>
                                          <w:marTop w:val="0"/>
                                          <w:marBottom w:val="0"/>
                                          <w:divBdr>
                                            <w:top w:val="none" w:sz="0" w:space="0" w:color="auto"/>
                                            <w:left w:val="none" w:sz="0" w:space="0" w:color="auto"/>
                                            <w:bottom w:val="none" w:sz="0" w:space="0" w:color="auto"/>
                                            <w:right w:val="none" w:sz="0" w:space="0" w:color="auto"/>
                                          </w:divBdr>
                                          <w:divsChild>
                                            <w:div w:id="853113710">
                                              <w:marLeft w:val="0"/>
                                              <w:marRight w:val="0"/>
                                              <w:marTop w:val="90"/>
                                              <w:marBottom w:val="0"/>
                                              <w:divBdr>
                                                <w:top w:val="none" w:sz="0" w:space="0" w:color="auto"/>
                                                <w:left w:val="none" w:sz="0" w:space="0" w:color="auto"/>
                                                <w:bottom w:val="none" w:sz="0" w:space="0" w:color="auto"/>
                                                <w:right w:val="none" w:sz="0" w:space="0" w:color="auto"/>
                                              </w:divBdr>
                                              <w:divsChild>
                                                <w:div w:id="1826120669">
                                                  <w:marLeft w:val="0"/>
                                                  <w:marRight w:val="0"/>
                                                  <w:marTop w:val="0"/>
                                                  <w:marBottom w:val="0"/>
                                                  <w:divBdr>
                                                    <w:top w:val="none" w:sz="0" w:space="0" w:color="auto"/>
                                                    <w:left w:val="none" w:sz="0" w:space="0" w:color="auto"/>
                                                    <w:bottom w:val="none" w:sz="0" w:space="0" w:color="auto"/>
                                                    <w:right w:val="none" w:sz="0" w:space="0" w:color="auto"/>
                                                  </w:divBdr>
                                                  <w:divsChild>
                                                    <w:div w:id="368913847">
                                                      <w:marLeft w:val="0"/>
                                                      <w:marRight w:val="0"/>
                                                      <w:marTop w:val="0"/>
                                                      <w:marBottom w:val="0"/>
                                                      <w:divBdr>
                                                        <w:top w:val="none" w:sz="0" w:space="0" w:color="auto"/>
                                                        <w:left w:val="none" w:sz="0" w:space="0" w:color="auto"/>
                                                        <w:bottom w:val="none" w:sz="0" w:space="0" w:color="auto"/>
                                                        <w:right w:val="none" w:sz="0" w:space="0" w:color="auto"/>
                                                      </w:divBdr>
                                                      <w:divsChild>
                                                        <w:div w:id="375857315">
                                                          <w:marLeft w:val="0"/>
                                                          <w:marRight w:val="0"/>
                                                          <w:marTop w:val="0"/>
                                                          <w:marBottom w:val="390"/>
                                                          <w:divBdr>
                                                            <w:top w:val="none" w:sz="0" w:space="0" w:color="auto"/>
                                                            <w:left w:val="none" w:sz="0" w:space="0" w:color="auto"/>
                                                            <w:bottom w:val="none" w:sz="0" w:space="0" w:color="auto"/>
                                                            <w:right w:val="none" w:sz="0" w:space="0" w:color="auto"/>
                                                          </w:divBdr>
                                                          <w:divsChild>
                                                            <w:div w:id="1190609772">
                                                              <w:marLeft w:val="0"/>
                                                              <w:marRight w:val="0"/>
                                                              <w:marTop w:val="0"/>
                                                              <w:marBottom w:val="0"/>
                                                              <w:divBdr>
                                                                <w:top w:val="none" w:sz="0" w:space="0" w:color="auto"/>
                                                                <w:left w:val="none" w:sz="0" w:space="0" w:color="auto"/>
                                                                <w:bottom w:val="none" w:sz="0" w:space="0" w:color="auto"/>
                                                                <w:right w:val="none" w:sz="0" w:space="0" w:color="auto"/>
                                                              </w:divBdr>
                                                              <w:divsChild>
                                                                <w:div w:id="777531657">
                                                                  <w:marLeft w:val="0"/>
                                                                  <w:marRight w:val="0"/>
                                                                  <w:marTop w:val="0"/>
                                                                  <w:marBottom w:val="0"/>
                                                                  <w:divBdr>
                                                                    <w:top w:val="none" w:sz="0" w:space="0" w:color="auto"/>
                                                                    <w:left w:val="none" w:sz="0" w:space="0" w:color="auto"/>
                                                                    <w:bottom w:val="none" w:sz="0" w:space="0" w:color="auto"/>
                                                                    <w:right w:val="none" w:sz="0" w:space="0" w:color="auto"/>
                                                                  </w:divBdr>
                                                                  <w:divsChild>
                                                                    <w:div w:id="154077226">
                                                                      <w:marLeft w:val="0"/>
                                                                      <w:marRight w:val="0"/>
                                                                      <w:marTop w:val="0"/>
                                                                      <w:marBottom w:val="0"/>
                                                                      <w:divBdr>
                                                                        <w:top w:val="none" w:sz="0" w:space="0" w:color="auto"/>
                                                                        <w:left w:val="none" w:sz="0" w:space="0" w:color="auto"/>
                                                                        <w:bottom w:val="none" w:sz="0" w:space="0" w:color="auto"/>
                                                                        <w:right w:val="none" w:sz="0" w:space="0" w:color="auto"/>
                                                                      </w:divBdr>
                                                                      <w:divsChild>
                                                                        <w:div w:id="696732694">
                                                                          <w:marLeft w:val="0"/>
                                                                          <w:marRight w:val="0"/>
                                                                          <w:marTop w:val="0"/>
                                                                          <w:marBottom w:val="0"/>
                                                                          <w:divBdr>
                                                                            <w:top w:val="none" w:sz="0" w:space="0" w:color="auto"/>
                                                                            <w:left w:val="none" w:sz="0" w:space="0" w:color="auto"/>
                                                                            <w:bottom w:val="none" w:sz="0" w:space="0" w:color="auto"/>
                                                                            <w:right w:val="none" w:sz="0" w:space="0" w:color="auto"/>
                                                                          </w:divBdr>
                                                                          <w:divsChild>
                                                                            <w:div w:id="2073850999">
                                                                              <w:marLeft w:val="0"/>
                                                                              <w:marRight w:val="0"/>
                                                                              <w:marTop w:val="0"/>
                                                                              <w:marBottom w:val="0"/>
                                                                              <w:divBdr>
                                                                                <w:top w:val="none" w:sz="0" w:space="0" w:color="auto"/>
                                                                                <w:left w:val="none" w:sz="0" w:space="0" w:color="auto"/>
                                                                                <w:bottom w:val="none" w:sz="0" w:space="0" w:color="auto"/>
                                                                                <w:right w:val="none" w:sz="0" w:space="0" w:color="auto"/>
                                                                              </w:divBdr>
                                                                              <w:divsChild>
                                                                                <w:div w:id="237982672">
                                                                                  <w:marLeft w:val="0"/>
                                                                                  <w:marRight w:val="0"/>
                                                                                  <w:marTop w:val="0"/>
                                                                                  <w:marBottom w:val="0"/>
                                                                                  <w:divBdr>
                                                                                    <w:top w:val="none" w:sz="0" w:space="0" w:color="auto"/>
                                                                                    <w:left w:val="none" w:sz="0" w:space="0" w:color="auto"/>
                                                                                    <w:bottom w:val="none" w:sz="0" w:space="0" w:color="auto"/>
                                                                                    <w:right w:val="none" w:sz="0" w:space="0" w:color="auto"/>
                                                                                  </w:divBdr>
                                                                                  <w:divsChild>
                                                                                    <w:div w:id="2026442370">
                                                                                      <w:marLeft w:val="0"/>
                                                                                      <w:marRight w:val="0"/>
                                                                                      <w:marTop w:val="0"/>
                                                                                      <w:marBottom w:val="0"/>
                                                                                      <w:divBdr>
                                                                                        <w:top w:val="none" w:sz="0" w:space="0" w:color="auto"/>
                                                                                        <w:left w:val="none" w:sz="0" w:space="0" w:color="auto"/>
                                                                                        <w:bottom w:val="none" w:sz="0" w:space="0" w:color="auto"/>
                                                                                        <w:right w:val="none" w:sz="0" w:space="0" w:color="auto"/>
                                                                                      </w:divBdr>
                                                                                      <w:divsChild>
                                                                                        <w:div w:id="873693012">
                                                                                          <w:marLeft w:val="0"/>
                                                                                          <w:marRight w:val="0"/>
                                                                                          <w:marTop w:val="0"/>
                                                                                          <w:marBottom w:val="0"/>
                                                                                          <w:divBdr>
                                                                                            <w:top w:val="none" w:sz="0" w:space="0" w:color="auto"/>
                                                                                            <w:left w:val="none" w:sz="0" w:space="0" w:color="auto"/>
                                                                                            <w:bottom w:val="none" w:sz="0" w:space="0" w:color="auto"/>
                                                                                            <w:right w:val="none" w:sz="0" w:space="0" w:color="auto"/>
                                                                                          </w:divBdr>
                                                                                          <w:divsChild>
                                                                                            <w:div w:id="1234973200">
                                                                                              <w:marLeft w:val="0"/>
                                                                                              <w:marRight w:val="0"/>
                                                                                              <w:marTop w:val="0"/>
                                                                                              <w:marBottom w:val="0"/>
                                                                                              <w:divBdr>
                                                                                                <w:top w:val="none" w:sz="0" w:space="0" w:color="auto"/>
                                                                                                <w:left w:val="none" w:sz="0" w:space="0" w:color="auto"/>
                                                                                                <w:bottom w:val="none" w:sz="0" w:space="0" w:color="auto"/>
                                                                                                <w:right w:val="none" w:sz="0" w:space="0" w:color="auto"/>
                                                                                              </w:divBdr>
                                                                                              <w:divsChild>
                                                                                                <w:div w:id="405345967">
                                                                                                  <w:marLeft w:val="0"/>
                                                                                                  <w:marRight w:val="0"/>
                                                                                                  <w:marTop w:val="0"/>
                                                                                                  <w:marBottom w:val="0"/>
                                                                                                  <w:divBdr>
                                                                                                    <w:top w:val="none" w:sz="0" w:space="0" w:color="auto"/>
                                                                                                    <w:left w:val="none" w:sz="0" w:space="0" w:color="auto"/>
                                                                                                    <w:bottom w:val="none" w:sz="0" w:space="0" w:color="auto"/>
                                                                                                    <w:right w:val="none" w:sz="0" w:space="0" w:color="auto"/>
                                                                                                  </w:divBdr>
                                                                                                  <w:divsChild>
                                                                                                    <w:div w:id="1311056045">
                                                                                                      <w:marLeft w:val="0"/>
                                                                                                      <w:marRight w:val="0"/>
                                                                                                      <w:marTop w:val="0"/>
                                                                                                      <w:marBottom w:val="0"/>
                                                                                                      <w:divBdr>
                                                                                                        <w:top w:val="none" w:sz="0" w:space="0" w:color="auto"/>
                                                                                                        <w:left w:val="none" w:sz="0" w:space="0" w:color="auto"/>
                                                                                                        <w:bottom w:val="none" w:sz="0" w:space="0" w:color="auto"/>
                                                                                                        <w:right w:val="none" w:sz="0" w:space="0" w:color="auto"/>
                                                                                                      </w:divBdr>
                                                                                                      <w:divsChild>
                                                                                                        <w:div w:id="1662849784">
                                                                                                          <w:marLeft w:val="0"/>
                                                                                                          <w:marRight w:val="0"/>
                                                                                                          <w:marTop w:val="0"/>
                                                                                                          <w:marBottom w:val="0"/>
                                                                                                          <w:divBdr>
                                                                                                            <w:top w:val="none" w:sz="0" w:space="0" w:color="auto"/>
                                                                                                            <w:left w:val="none" w:sz="0" w:space="0" w:color="auto"/>
                                                                                                            <w:bottom w:val="none" w:sz="0" w:space="0" w:color="auto"/>
                                                                                                            <w:right w:val="none" w:sz="0" w:space="0" w:color="auto"/>
                                                                                                          </w:divBdr>
                                                                                                          <w:divsChild>
                                                                                                            <w:div w:id="2028822831">
                                                                                                              <w:marLeft w:val="0"/>
                                                                                                              <w:marRight w:val="0"/>
                                                                                                              <w:marTop w:val="0"/>
                                                                                                              <w:marBottom w:val="0"/>
                                                                                                              <w:divBdr>
                                                                                                                <w:top w:val="none" w:sz="0" w:space="0" w:color="auto"/>
                                                                                                                <w:left w:val="none" w:sz="0" w:space="0" w:color="auto"/>
                                                                                                                <w:bottom w:val="none" w:sz="0" w:space="0" w:color="auto"/>
                                                                                                                <w:right w:val="none" w:sz="0" w:space="0" w:color="auto"/>
                                                                                                              </w:divBdr>
                                                                                                              <w:divsChild>
                                                                                                                <w:div w:id="1484275749">
                                                                                                                  <w:marLeft w:val="300"/>
                                                                                                                  <w:marRight w:val="0"/>
                                                                                                                  <w:marTop w:val="0"/>
                                                                                                                  <w:marBottom w:val="0"/>
                                                                                                                  <w:divBdr>
                                                                                                                    <w:top w:val="none" w:sz="0" w:space="0" w:color="auto"/>
                                                                                                                    <w:left w:val="none" w:sz="0" w:space="0" w:color="auto"/>
                                                                                                                    <w:bottom w:val="none" w:sz="0" w:space="0" w:color="auto"/>
                                                                                                                    <w:right w:val="none" w:sz="0" w:space="0" w:color="auto"/>
                                                                                                                  </w:divBdr>
                                                                                                                  <w:divsChild>
                                                                                                                    <w:div w:id="129784210">
                                                                                                                      <w:marLeft w:val="-300"/>
                                                                                                                      <w:marRight w:val="0"/>
                                                                                                                      <w:marTop w:val="0"/>
                                                                                                                      <w:marBottom w:val="0"/>
                                                                                                                      <w:divBdr>
                                                                                                                        <w:top w:val="none" w:sz="0" w:space="0" w:color="auto"/>
                                                                                                                        <w:left w:val="none" w:sz="0" w:space="0" w:color="auto"/>
                                                                                                                        <w:bottom w:val="none" w:sz="0" w:space="0" w:color="auto"/>
                                                                                                                        <w:right w:val="none" w:sz="0" w:space="0" w:color="auto"/>
                                                                                                                      </w:divBdr>
                                                                                                                      <w:divsChild>
                                                                                                                        <w:div w:id="18933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hsis7.ht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gov.uk/how-to-classify-different-types-of-waste/healthcare-and-related-wast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orris\AppData\Local\Temp\Temp2_Templates.zip\Templates\VTCT_Unit_Specification_Template_Dual%20Brand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101337D0008D41A49097C86BE1EF30" ma:contentTypeVersion="13" ma:contentTypeDescription="Create a new document." ma:contentTypeScope="" ma:versionID="23a2aa57db988515378c0d08974c2ce2">
  <xsd:schema xmlns:xsd="http://www.w3.org/2001/XMLSchema" xmlns:xs="http://www.w3.org/2001/XMLSchema" xmlns:p="http://schemas.microsoft.com/office/2006/metadata/properties" xmlns:ns2="02144885-7f25-44a9-bf41-7f99576eb6b9" xmlns:ns3="64724966-3219-463a-aee9-fd18aca82b3e" targetNamespace="http://schemas.microsoft.com/office/2006/metadata/properties" ma:root="true" ma:fieldsID="7af1526f8528cecaf5c0813e54277cee" ns2:_="" ns3:_="">
    <xsd:import namespace="02144885-7f25-44a9-bf41-7f99576eb6b9"/>
    <xsd:import namespace="64724966-3219-463a-aee9-fd18aca82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44885-7f25-44a9-bf41-7f99576eb6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24966-3219-463a-aee9-fd18aca82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3EE0F-9E4E-4D8A-96E0-8A21278E2129}">
  <ds:schemaRefs>
    <ds:schemaRef ds:uri="http://schemas.openxmlformats.org/officeDocument/2006/bibliography"/>
  </ds:schemaRefs>
</ds:datastoreItem>
</file>

<file path=customXml/itemProps2.xml><?xml version="1.0" encoding="utf-8"?>
<ds:datastoreItem xmlns:ds="http://schemas.openxmlformats.org/officeDocument/2006/customXml" ds:itemID="{97B746E2-AFFC-466B-9DC7-9679056263F3}"/>
</file>

<file path=customXml/itemProps3.xml><?xml version="1.0" encoding="utf-8"?>
<ds:datastoreItem xmlns:ds="http://schemas.openxmlformats.org/officeDocument/2006/customXml" ds:itemID="{267F9482-D735-4576-888F-6C1C164CC410}"/>
</file>

<file path=customXml/itemProps4.xml><?xml version="1.0" encoding="utf-8"?>
<ds:datastoreItem xmlns:ds="http://schemas.openxmlformats.org/officeDocument/2006/customXml" ds:itemID="{B3640E2A-DF63-46F5-BE19-29819A959774}"/>
</file>

<file path=docProps/app.xml><?xml version="1.0" encoding="utf-8"?>
<Properties xmlns="http://schemas.openxmlformats.org/officeDocument/2006/extended-properties" xmlns:vt="http://schemas.openxmlformats.org/officeDocument/2006/docPropsVTypes">
  <Template>VTCT_Unit_Specification_Template_Dual Brand_v2</Template>
  <TotalTime>1</TotalTime>
  <Pages>12</Pages>
  <Words>2788</Words>
  <Characters>15896</Characters>
  <Application>Microsoft Office Word</Application>
  <DocSecurity>4</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Morris</dc:creator>
  <cp:lastModifiedBy>Olding, James</cp:lastModifiedBy>
  <cp:revision>2</cp:revision>
  <cp:lastPrinted>2019-10-08T11:34:00Z</cp:lastPrinted>
  <dcterms:created xsi:type="dcterms:W3CDTF">2021-06-04T09:56:00Z</dcterms:created>
  <dcterms:modified xsi:type="dcterms:W3CDTF">2021-06-04T09:56:00Z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0x01010076101337D0008D41A49097C86BE1EF30</vt:lpwstr>
  </property>
</Properties>
</file>