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3DCDE" w14:textId="77777777" w:rsidR="00A71259" w:rsidRDefault="00BA0D2D" w:rsidP="00BA0D2D">
      <w:pPr>
        <w:jc w:val="right"/>
      </w:pPr>
      <w:r>
        <w:rPr>
          <w:noProof/>
          <w:lang w:eastAsia="en-GB"/>
        </w:rPr>
        <w:drawing>
          <wp:inline distT="0" distB="0" distL="0" distR="0" wp14:anchorId="6DB566FA" wp14:editId="633C83AC">
            <wp:extent cx="1690370" cy="619125"/>
            <wp:effectExtent l="0" t="0" r="5080" b="9525"/>
            <wp:docPr id="1" name="Picture 1" descr="iTEC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EC 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0370" cy="619125"/>
                    </a:xfrm>
                    <a:prstGeom prst="rect">
                      <a:avLst/>
                    </a:prstGeom>
                    <a:noFill/>
                    <a:ln>
                      <a:noFill/>
                    </a:ln>
                  </pic:spPr>
                </pic:pic>
              </a:graphicData>
            </a:graphic>
          </wp:inline>
        </w:drawing>
      </w:r>
      <w:r>
        <w:t xml:space="preserve">           </w:t>
      </w:r>
      <w:r w:rsidR="00A71259">
        <w:rPr>
          <w:noProof/>
          <w:lang w:eastAsia="en-GB"/>
        </w:rPr>
        <w:drawing>
          <wp:inline distT="0" distB="0" distL="0" distR="0" wp14:anchorId="23944B42" wp14:editId="0B17DA6D">
            <wp:extent cx="1902460" cy="526415"/>
            <wp:effectExtent l="0" t="0" r="2540" b="6985"/>
            <wp:docPr id="3" name="Picture 3" descr="VTCT 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CT Logo_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2460" cy="526415"/>
                    </a:xfrm>
                    <a:prstGeom prst="rect">
                      <a:avLst/>
                    </a:prstGeom>
                    <a:noFill/>
                    <a:ln>
                      <a:noFill/>
                    </a:ln>
                  </pic:spPr>
                </pic:pic>
              </a:graphicData>
            </a:graphic>
          </wp:inline>
        </w:drawing>
      </w:r>
      <w:r>
        <w:t xml:space="preserve"> </w:t>
      </w:r>
    </w:p>
    <w:p w14:paraId="6F1CD390" w14:textId="77777777" w:rsidR="00726597" w:rsidRDefault="00726597" w:rsidP="00726597">
      <w:pPr>
        <w:tabs>
          <w:tab w:val="left" w:pos="1980"/>
        </w:tabs>
      </w:pPr>
      <w:r>
        <w:tab/>
      </w:r>
    </w:p>
    <w:p w14:paraId="3FED2DE1" w14:textId="77777777" w:rsidR="00F25FE9" w:rsidRDefault="00F25FE9" w:rsidP="00735D34"/>
    <w:p w14:paraId="0905EBC8" w14:textId="77777777" w:rsidR="00F77413" w:rsidRDefault="00F77413" w:rsidP="00735D34"/>
    <w:p w14:paraId="4332FF5E" w14:textId="77777777" w:rsidR="009E5A05" w:rsidRDefault="009E5A05" w:rsidP="00735D34"/>
    <w:p w14:paraId="167B9D55" w14:textId="77777777" w:rsidR="009E5A05" w:rsidRDefault="009E5A05" w:rsidP="00735D34"/>
    <w:p w14:paraId="1F4F73BD" w14:textId="77777777" w:rsidR="00726597" w:rsidRDefault="00726597" w:rsidP="00735D34"/>
    <w:p w14:paraId="4617D36E" w14:textId="77777777" w:rsidR="00F77413" w:rsidRPr="005A39CB" w:rsidRDefault="00F25FE9" w:rsidP="00735D34">
      <w:pPr>
        <w:pStyle w:val="Frontpageheading"/>
      </w:pPr>
      <w:r>
        <w:t>Unit</w:t>
      </w:r>
      <w:r w:rsidR="00F77413" w:rsidRPr="005A39CB">
        <w:t xml:space="preserve"> Specification</w:t>
      </w:r>
    </w:p>
    <w:p w14:paraId="1B16FE87" w14:textId="13DC0687" w:rsidR="00F77413" w:rsidRPr="002818CD" w:rsidRDefault="00250064" w:rsidP="00735D34">
      <w:pPr>
        <w:pStyle w:val="Qaultile"/>
      </w:pPr>
      <w:r>
        <w:t>UMA</w:t>
      </w:r>
      <w:r w:rsidR="009F31CB">
        <w:t>4</w:t>
      </w:r>
      <w:r w:rsidR="00F77413" w:rsidRPr="002818CD">
        <w:t xml:space="preserve"> </w:t>
      </w:r>
      <w:r w:rsidR="005F70D5" w:rsidRPr="002818CD">
        <w:t>–</w:t>
      </w:r>
      <w:r w:rsidR="00F77413" w:rsidRPr="002818CD">
        <w:t xml:space="preserve"> </w:t>
      </w:r>
      <w:r w:rsidR="003921C8" w:rsidRPr="003921C8">
        <w:rPr>
          <w:szCs w:val="40"/>
        </w:rPr>
        <w:t xml:space="preserve">Principles and practice of botulinum toxin use in aesthetic </w:t>
      </w:r>
      <w:r w:rsidR="00BD63BB">
        <w:rPr>
          <w:szCs w:val="40"/>
        </w:rPr>
        <w:t>procedure</w:t>
      </w:r>
      <w:r w:rsidR="003921C8" w:rsidRPr="003921C8">
        <w:rPr>
          <w:szCs w:val="40"/>
        </w:rPr>
        <w:t>s</w:t>
      </w:r>
      <w:r w:rsidR="008F7E9D" w:rsidRPr="002818CD">
        <w:t xml:space="preserve"> </w:t>
      </w:r>
    </w:p>
    <w:p w14:paraId="5C2F332B" w14:textId="06784F39" w:rsidR="002F4DBC" w:rsidRPr="002818CD" w:rsidRDefault="00F25FE9" w:rsidP="005C2D6B">
      <w:pPr>
        <w:pStyle w:val="QN"/>
      </w:pPr>
      <w:r w:rsidRPr="002818CD">
        <w:t xml:space="preserve">Unit reference number: </w:t>
      </w:r>
      <w:r w:rsidR="00F878D9" w:rsidRPr="00F878D9">
        <w:t>M/618/1674</w:t>
      </w:r>
    </w:p>
    <w:p w14:paraId="19CAE652" w14:textId="77777777" w:rsidR="002F4DBC" w:rsidRPr="002818CD" w:rsidRDefault="002F4DBC" w:rsidP="00735D34"/>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F25FE9" w14:paraId="34D08DA4" w14:textId="77777777" w:rsidTr="00392B0B">
        <w:trPr>
          <w:trHeight w:val="266"/>
        </w:trPr>
        <w:tc>
          <w:tcPr>
            <w:tcW w:w="9016" w:type="dxa"/>
            <w:shd w:val="clear" w:color="auto" w:fill="EFDFF5"/>
            <w:tcMar>
              <w:top w:w="57" w:type="dxa"/>
              <w:bottom w:w="57" w:type="dxa"/>
            </w:tcMar>
          </w:tcPr>
          <w:p w14:paraId="17F28845" w14:textId="77777777" w:rsidR="00F25FE9" w:rsidRPr="002818CD" w:rsidRDefault="00CF44D5" w:rsidP="00F25FE9">
            <w:pPr>
              <w:rPr>
                <w:b/>
                <w:sz w:val="28"/>
              </w:rPr>
            </w:pPr>
            <w:r w:rsidRPr="002818CD">
              <w:rPr>
                <w:b/>
                <w:sz w:val="28"/>
              </w:rPr>
              <w:t xml:space="preserve">Level: </w:t>
            </w:r>
            <w:r w:rsidR="004213DC">
              <w:rPr>
                <w:b/>
                <w:sz w:val="28"/>
              </w:rPr>
              <w:t>7</w:t>
            </w:r>
          </w:p>
          <w:p w14:paraId="3881D335" w14:textId="7AF3297A" w:rsidR="00F25FE9" w:rsidRDefault="00CF44D5" w:rsidP="009E5A05">
            <w:pPr>
              <w:rPr>
                <w:b/>
                <w:sz w:val="28"/>
              </w:rPr>
            </w:pPr>
            <w:r w:rsidRPr="002818CD">
              <w:rPr>
                <w:b/>
                <w:sz w:val="28"/>
              </w:rPr>
              <w:t xml:space="preserve">Guided Learning (GL) hours: </w:t>
            </w:r>
            <w:r w:rsidR="008A2835">
              <w:rPr>
                <w:b/>
                <w:sz w:val="28"/>
              </w:rPr>
              <w:t>35</w:t>
            </w:r>
          </w:p>
          <w:p w14:paraId="4E62868C" w14:textId="5D8B359D" w:rsidR="003921C8" w:rsidRDefault="003921C8" w:rsidP="009E5A05">
            <w:r>
              <w:rPr>
                <w:b/>
                <w:sz w:val="28"/>
              </w:rPr>
              <w:t xml:space="preserve">Credit value: </w:t>
            </w:r>
            <w:r w:rsidR="008A2835">
              <w:rPr>
                <w:b/>
                <w:sz w:val="28"/>
              </w:rPr>
              <w:t>12</w:t>
            </w:r>
          </w:p>
        </w:tc>
      </w:tr>
    </w:tbl>
    <w:p w14:paraId="3FD68BD1" w14:textId="77777777" w:rsidR="00F25FE9" w:rsidRDefault="00F25FE9" w:rsidP="00F25FE9">
      <w:pPr>
        <w:spacing w:after="0"/>
      </w:pPr>
    </w:p>
    <w:p w14:paraId="24BEB675" w14:textId="77777777" w:rsidR="002F4DBC" w:rsidRPr="00F25FE9" w:rsidRDefault="00996239" w:rsidP="002F4DBC">
      <w:pPr>
        <w:pStyle w:val="Heading2"/>
        <w:rPr>
          <w:b/>
          <w:color w:val="262626" w:themeColor="text1" w:themeTint="D9"/>
        </w:rPr>
      </w:pPr>
      <w:r>
        <w:rPr>
          <w:b/>
          <w:color w:val="262626" w:themeColor="text1" w:themeTint="D9"/>
        </w:rPr>
        <w:t>Learning aim</w:t>
      </w:r>
    </w:p>
    <w:p w14:paraId="436A5EB3" w14:textId="547F05A3" w:rsidR="00F31DA6" w:rsidRDefault="00F31DA6" w:rsidP="00115264">
      <w:r>
        <w:t>The aim of this unit</w:t>
      </w:r>
      <w:r w:rsidR="00EC26D8">
        <w:t xml:space="preserve"> is to </w:t>
      </w:r>
      <w:r>
        <w:t xml:space="preserve">enable learners to comprehend the use </w:t>
      </w:r>
      <w:r w:rsidR="00F61D51">
        <w:t xml:space="preserve">of </w:t>
      </w:r>
      <w:r>
        <w:t xml:space="preserve">botulinum toxin within aesthetic medicine, developing an awareness </w:t>
      </w:r>
      <w:r w:rsidR="00FD223A">
        <w:t xml:space="preserve">and understanding </w:t>
      </w:r>
      <w:r>
        <w:t xml:space="preserve">of the biochemistry and pharmacology of the product. </w:t>
      </w:r>
    </w:p>
    <w:p w14:paraId="755C910F" w14:textId="2F45B82E" w:rsidR="00CF44D5" w:rsidRDefault="00F31DA6" w:rsidP="00115264">
      <w:r>
        <w:t>Additionally learner</w:t>
      </w:r>
      <w:r w:rsidR="00787303">
        <w:t>s</w:t>
      </w:r>
      <w:r w:rsidR="007E15E3">
        <w:t xml:space="preserve"> will gain a cognis</w:t>
      </w:r>
      <w:r>
        <w:t>ance of the required competent performance indicators of botulinum toxin administration, associated responsibilities of administration, risk identification and management. Upon completion</w:t>
      </w:r>
      <w:r w:rsidR="00F61D51">
        <w:t>,</w:t>
      </w:r>
      <w:r>
        <w:t xml:space="preserve"> learners will develop the cap</w:t>
      </w:r>
      <w:r w:rsidR="00DB0524">
        <w:t>acity to adapt,</w:t>
      </w:r>
      <w:r>
        <w:t xml:space="preserve"> individualise </w:t>
      </w:r>
      <w:r w:rsidR="00DB0524">
        <w:t xml:space="preserve">and deliver </w:t>
      </w:r>
      <w:r w:rsidR="00BD63BB">
        <w:t>procedure</w:t>
      </w:r>
      <w:r>
        <w:t xml:space="preserve"> protocols to meet the patients’ needs.  </w:t>
      </w:r>
    </w:p>
    <w:p w14:paraId="7B35D246" w14:textId="77777777" w:rsidR="00735D34" w:rsidRPr="00F25FE9" w:rsidRDefault="00F25FE9" w:rsidP="00F25FE9">
      <w:pPr>
        <w:pStyle w:val="Heading2"/>
        <w:rPr>
          <w:b/>
          <w:color w:val="262626" w:themeColor="text1" w:themeTint="D9"/>
        </w:rPr>
      </w:pPr>
      <w:r w:rsidRPr="00F25FE9">
        <w:rPr>
          <w:b/>
          <w:color w:val="262626" w:themeColor="text1" w:themeTint="D9"/>
        </w:rPr>
        <w:t>Learning outcomes</w:t>
      </w:r>
    </w:p>
    <w:p w14:paraId="05885D5E" w14:textId="7EC6B2D7" w:rsidR="003E3EE9" w:rsidRDefault="00F25FE9" w:rsidP="00F25FE9">
      <w:r>
        <w:t>On completion of this unit, learners will:</w:t>
      </w:r>
    </w:p>
    <w:p w14:paraId="15ACED6E" w14:textId="68D54F34" w:rsidR="004035FF" w:rsidRPr="00115264" w:rsidRDefault="00CF44D5" w:rsidP="00115264">
      <w:pPr>
        <w:pStyle w:val="LO"/>
      </w:pPr>
      <w:r w:rsidRPr="00115264">
        <w:t xml:space="preserve">LO1 </w:t>
      </w:r>
      <w:r w:rsidR="00B02410">
        <w:t>Have i</w:t>
      </w:r>
      <w:r w:rsidR="00B02410" w:rsidRPr="006E28A7">
        <w:t>ntegrate</w:t>
      </w:r>
      <w:r w:rsidR="00B02410">
        <w:t>d</w:t>
      </w:r>
      <w:r w:rsidR="00B02410" w:rsidRPr="006E28A7">
        <w:t xml:space="preserve"> knowledge</w:t>
      </w:r>
      <w:r w:rsidR="00B02410">
        <w:t xml:space="preserve"> and understanding</w:t>
      </w:r>
      <w:r w:rsidR="00B02410" w:rsidRPr="00D13EF1">
        <w:t xml:space="preserve"> </w:t>
      </w:r>
      <w:r w:rsidR="00D0283A">
        <w:t xml:space="preserve">of </w:t>
      </w:r>
      <w:r w:rsidR="004035FF" w:rsidRPr="00115264">
        <w:t xml:space="preserve">the biochemistry and physiological effects of botulinum toxin </w:t>
      </w:r>
    </w:p>
    <w:p w14:paraId="261D5540" w14:textId="4141F93E" w:rsidR="00807339" w:rsidRPr="00115264" w:rsidRDefault="00807339" w:rsidP="00115264">
      <w:pPr>
        <w:pStyle w:val="LO"/>
      </w:pPr>
      <w:r w:rsidRPr="00115264">
        <w:t xml:space="preserve">LO2 </w:t>
      </w:r>
      <w:r w:rsidR="00371BEA">
        <w:t>Comprehend</w:t>
      </w:r>
      <w:r w:rsidR="00F37DF6" w:rsidRPr="00115264">
        <w:t xml:space="preserve"> </w:t>
      </w:r>
      <w:r w:rsidR="00F57384" w:rsidRPr="00115264">
        <w:t xml:space="preserve">how to </w:t>
      </w:r>
      <w:r w:rsidR="00D0283A">
        <w:t xml:space="preserve">safely </w:t>
      </w:r>
      <w:r w:rsidR="00F57384" w:rsidRPr="00115264">
        <w:t>administer</w:t>
      </w:r>
      <w:r w:rsidRPr="00115264">
        <w:t xml:space="preserve"> </w:t>
      </w:r>
      <w:r w:rsidR="003062A6" w:rsidRPr="00115264">
        <w:t>botulinum toxin</w:t>
      </w:r>
    </w:p>
    <w:p w14:paraId="4E5C4C3E" w14:textId="152DC023" w:rsidR="004035FF" w:rsidRPr="00115264" w:rsidRDefault="00F25FE9" w:rsidP="00115264">
      <w:pPr>
        <w:pStyle w:val="LO"/>
      </w:pPr>
      <w:r w:rsidRPr="00115264">
        <w:t>LO</w:t>
      </w:r>
      <w:r w:rsidR="003062A6" w:rsidRPr="00115264">
        <w:t>3</w:t>
      </w:r>
      <w:r w:rsidRPr="00115264">
        <w:t xml:space="preserve"> </w:t>
      </w:r>
      <w:r w:rsidR="00D0283A">
        <w:t>Evaluate</w:t>
      </w:r>
      <w:r w:rsidR="004035FF" w:rsidRPr="00115264">
        <w:t xml:space="preserve"> </w:t>
      </w:r>
      <w:r w:rsidR="000A5C94" w:rsidRPr="00115264">
        <w:t xml:space="preserve">procedure </w:t>
      </w:r>
      <w:r w:rsidR="004035FF" w:rsidRPr="00115264">
        <w:t xml:space="preserve">risks and the management of adverse </w:t>
      </w:r>
      <w:r w:rsidR="005A3D49" w:rsidRPr="00115264">
        <w:t xml:space="preserve">events </w:t>
      </w:r>
      <w:r w:rsidR="004035FF" w:rsidRPr="00115264">
        <w:t xml:space="preserve"> </w:t>
      </w:r>
    </w:p>
    <w:p w14:paraId="1DA0B877" w14:textId="56087011" w:rsidR="004035FF" w:rsidRPr="00115264" w:rsidRDefault="00CF44D5" w:rsidP="00115264">
      <w:pPr>
        <w:pStyle w:val="LO"/>
      </w:pPr>
      <w:r w:rsidRPr="00115264">
        <w:t>LO</w:t>
      </w:r>
      <w:r w:rsidR="002A6874" w:rsidRPr="00115264">
        <w:t>4</w:t>
      </w:r>
      <w:r w:rsidR="00B74EED" w:rsidRPr="00115264">
        <w:t xml:space="preserve"> </w:t>
      </w:r>
      <w:r w:rsidR="004035FF" w:rsidRPr="00115264">
        <w:t xml:space="preserve">Formulate individualised </w:t>
      </w:r>
      <w:r w:rsidR="000A5C94" w:rsidRPr="00115264">
        <w:t xml:space="preserve">procedure </w:t>
      </w:r>
      <w:r w:rsidR="004035FF" w:rsidRPr="00115264">
        <w:t>plans for the use</w:t>
      </w:r>
      <w:r w:rsidR="00063CAC">
        <w:t xml:space="preserve"> of</w:t>
      </w:r>
      <w:r w:rsidR="004035FF" w:rsidRPr="00115264">
        <w:t xml:space="preserve"> botulinum toxin </w:t>
      </w:r>
    </w:p>
    <w:p w14:paraId="39D15E3C" w14:textId="30E632AC" w:rsidR="00B74EED" w:rsidRPr="00115264" w:rsidRDefault="00A71259" w:rsidP="00115264">
      <w:pPr>
        <w:pStyle w:val="LO"/>
      </w:pPr>
      <w:r w:rsidRPr="00115264">
        <w:t>LO</w:t>
      </w:r>
      <w:r w:rsidR="002A6874" w:rsidRPr="00115264">
        <w:t>5</w:t>
      </w:r>
      <w:r w:rsidRPr="00115264">
        <w:t xml:space="preserve"> </w:t>
      </w:r>
      <w:r w:rsidR="00D0283A">
        <w:t xml:space="preserve">Demonstrate </w:t>
      </w:r>
      <w:r w:rsidR="00F0142A">
        <w:t xml:space="preserve">proficiency </w:t>
      </w:r>
      <w:r w:rsidR="00D0283A">
        <w:t>in the administ</w:t>
      </w:r>
      <w:r w:rsidR="004035FF" w:rsidRPr="00115264">
        <w:t>r</w:t>
      </w:r>
      <w:r w:rsidR="00D0283A">
        <w:t>ation of</w:t>
      </w:r>
      <w:r w:rsidR="004035FF" w:rsidRPr="00115264">
        <w:t xml:space="preserve"> botulinum toxin</w:t>
      </w:r>
    </w:p>
    <w:p w14:paraId="01897421" w14:textId="77777777" w:rsidR="00323ED2" w:rsidRDefault="00323ED2" w:rsidP="009E5A05">
      <w:pPr>
        <w:pStyle w:val="LO"/>
      </w:pPr>
    </w:p>
    <w:p w14:paraId="4F2A3072" w14:textId="77777777" w:rsidR="00BB0E89" w:rsidRDefault="00BB0E89" w:rsidP="00BB0E89">
      <w:pPr>
        <w:pStyle w:val="Heading1"/>
      </w:pPr>
      <w:r w:rsidRPr="00BB0E89">
        <w:t>Unit content</w:t>
      </w:r>
    </w:p>
    <w:p w14:paraId="2091524B" w14:textId="218E0FF0" w:rsidR="00BB0E89" w:rsidRDefault="00B74EED" w:rsidP="00787303">
      <w:pPr>
        <w:pStyle w:val="Heading2"/>
        <w:spacing w:after="120"/>
      </w:pPr>
      <w:r w:rsidRPr="00B74EED">
        <w:rPr>
          <w:szCs w:val="28"/>
        </w:rPr>
        <w:t>LO1</w:t>
      </w:r>
      <w:r>
        <w:rPr>
          <w:szCs w:val="28"/>
        </w:rPr>
        <w:t xml:space="preserve"> </w:t>
      </w:r>
      <w:r w:rsidR="00B02410">
        <w:t>Have i</w:t>
      </w:r>
      <w:r w:rsidR="00B02410" w:rsidRPr="006E28A7">
        <w:t>ntegrate</w:t>
      </w:r>
      <w:r w:rsidR="00B02410">
        <w:t>d</w:t>
      </w:r>
      <w:r w:rsidR="00B02410" w:rsidRPr="006E28A7">
        <w:t xml:space="preserve"> knowledge</w:t>
      </w:r>
      <w:r w:rsidR="00B02410">
        <w:t xml:space="preserve"> and understanding</w:t>
      </w:r>
      <w:r w:rsidR="00B02410" w:rsidRPr="00D13EF1">
        <w:t xml:space="preserve"> </w:t>
      </w:r>
      <w:r w:rsidR="00D0283A">
        <w:rPr>
          <w:szCs w:val="28"/>
        </w:rPr>
        <w:t>of</w:t>
      </w:r>
      <w:r w:rsidR="0068413B">
        <w:t xml:space="preserve"> the biochemistry and physiological effects</w:t>
      </w:r>
      <w:r w:rsidR="004035FF">
        <w:t xml:space="preserve"> of</w:t>
      </w:r>
      <w:r w:rsidR="0068413B">
        <w:t xml:space="preserve"> botuli</w:t>
      </w:r>
      <w:r w:rsidR="004035FF">
        <w:t>n</w:t>
      </w:r>
      <w:r w:rsidR="0068413B">
        <w:t>um toxin</w:t>
      </w: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533E5B" w:rsidRPr="007F0350" w14:paraId="1BD8B747" w14:textId="77777777" w:rsidTr="00533E5B">
        <w:tc>
          <w:tcPr>
            <w:tcW w:w="5000" w:type="pct"/>
            <w:shd w:val="clear" w:color="auto" w:fill="EFDFF5"/>
            <w:tcMar>
              <w:top w:w="57" w:type="dxa"/>
              <w:bottom w:w="57" w:type="dxa"/>
            </w:tcMar>
            <w:vAlign w:val="center"/>
          </w:tcPr>
          <w:p w14:paraId="6D456FA3" w14:textId="421817FF" w:rsidR="00533E5B" w:rsidRPr="009E5A05" w:rsidRDefault="00533E5B" w:rsidP="003B0CB6">
            <w:pPr>
              <w:pStyle w:val="Boldstatement"/>
            </w:pPr>
            <w:r>
              <w:t>Professional k</w:t>
            </w:r>
            <w:r w:rsidRPr="00996239">
              <w:t>nowledge</w:t>
            </w:r>
            <w:r>
              <w:t xml:space="preserve"> </w:t>
            </w:r>
          </w:p>
        </w:tc>
      </w:tr>
      <w:tr w:rsidR="00EA27AA" w:rsidRPr="00003257" w14:paraId="525C0918" w14:textId="77777777" w:rsidTr="003B0CB6">
        <w:tc>
          <w:tcPr>
            <w:tcW w:w="5000" w:type="pct"/>
            <w:shd w:val="clear" w:color="auto" w:fill="E7E6E6"/>
            <w:tcMar>
              <w:top w:w="57" w:type="dxa"/>
              <w:bottom w:w="57" w:type="dxa"/>
            </w:tcMar>
          </w:tcPr>
          <w:p w14:paraId="63FBEA65" w14:textId="6094B741" w:rsidR="00EA27AA" w:rsidRPr="0087609D" w:rsidRDefault="00533E5B" w:rsidP="003B0CB6">
            <w:pPr>
              <w:tabs>
                <w:tab w:val="left" w:pos="1926"/>
              </w:tabs>
              <w:spacing w:before="20" w:after="20"/>
            </w:pPr>
            <w:r>
              <w:rPr>
                <w:color w:val="262626" w:themeColor="text1" w:themeTint="D9"/>
              </w:rPr>
              <w:t>Taught content to include</w:t>
            </w:r>
            <w:r w:rsidR="00787303">
              <w:rPr>
                <w:color w:val="262626" w:themeColor="text1" w:themeTint="D9"/>
              </w:rPr>
              <w:t>:</w:t>
            </w:r>
          </w:p>
        </w:tc>
      </w:tr>
      <w:tr w:rsidR="00533E5B" w14:paraId="4E9E67D3" w14:textId="77777777" w:rsidTr="00533E5B">
        <w:tc>
          <w:tcPr>
            <w:tcW w:w="5000" w:type="pct"/>
            <w:tcMar>
              <w:top w:w="57" w:type="dxa"/>
              <w:bottom w:w="57" w:type="dxa"/>
            </w:tcMar>
          </w:tcPr>
          <w:p w14:paraId="2FD5C6D8" w14:textId="444721E3" w:rsidR="00533E5B" w:rsidRPr="00274B2A" w:rsidRDefault="00533E5B" w:rsidP="003B0CB6">
            <w:pPr>
              <w:rPr>
                <w:b/>
                <w:color w:val="702F8A"/>
              </w:rPr>
            </w:pPr>
            <w:r w:rsidRPr="00274B2A">
              <w:rPr>
                <w:b/>
                <w:color w:val="702F8A"/>
              </w:rPr>
              <w:t>1.1.</w:t>
            </w:r>
            <w:r>
              <w:rPr>
                <w:b/>
                <w:color w:val="702F8A"/>
              </w:rPr>
              <w:t xml:space="preserve"> </w:t>
            </w:r>
            <w:r w:rsidRPr="00EA27AA">
              <w:rPr>
                <w:b/>
                <w:color w:val="702F8A"/>
              </w:rPr>
              <w:t>Pharmacology of different Botulinum Toxin products to include</w:t>
            </w:r>
            <w:r w:rsidR="00787303">
              <w:rPr>
                <w:b/>
                <w:color w:val="702F8A"/>
              </w:rPr>
              <w:t>:</w:t>
            </w:r>
          </w:p>
          <w:p w14:paraId="2F77B168" w14:textId="77777777" w:rsidR="00533E5B" w:rsidRDefault="00533E5B" w:rsidP="00F818FB">
            <w:pPr>
              <w:pStyle w:val="Bullet"/>
              <w:spacing w:after="40"/>
              <w:contextualSpacing w:val="0"/>
            </w:pPr>
            <w:r>
              <w:t>Botulinum Toxin Type A</w:t>
            </w:r>
          </w:p>
          <w:p w14:paraId="5A024654" w14:textId="37A7DC06" w:rsidR="00533E5B" w:rsidRDefault="00533E5B" w:rsidP="00F818FB">
            <w:pPr>
              <w:pStyle w:val="Bullet"/>
              <w:spacing w:after="40"/>
              <w:contextualSpacing w:val="0"/>
            </w:pPr>
            <w:r>
              <w:t>Botulinum Toxin Type B</w:t>
            </w:r>
          </w:p>
          <w:p w14:paraId="2450DB6F" w14:textId="029BD1CE" w:rsidR="00533E5B" w:rsidRDefault="00533E5B" w:rsidP="00F818FB">
            <w:pPr>
              <w:pStyle w:val="Bullet"/>
              <w:spacing w:after="40"/>
              <w:contextualSpacing w:val="0"/>
            </w:pPr>
            <w:r>
              <w:t>Formulation variances – mechanism of action, different components in each formula and the implied differences. Antigenicity and latest evidence</w:t>
            </w:r>
          </w:p>
          <w:p w14:paraId="4CFEFFC6" w14:textId="5C3C6A93" w:rsidR="00533E5B" w:rsidRDefault="00533E5B" w:rsidP="00F818FB">
            <w:pPr>
              <w:pStyle w:val="Bullet"/>
              <w:spacing w:after="40"/>
              <w:contextualSpacing w:val="0"/>
            </w:pPr>
            <w:r>
              <w:t xml:space="preserve">Suitability for procedure area </w:t>
            </w:r>
          </w:p>
          <w:p w14:paraId="6DA72F96" w14:textId="77777777" w:rsidR="00533E5B" w:rsidRDefault="00533E5B" w:rsidP="00F818FB">
            <w:pPr>
              <w:pStyle w:val="Bullet"/>
              <w:spacing w:after="40"/>
              <w:contextualSpacing w:val="0"/>
            </w:pPr>
            <w:r>
              <w:t xml:space="preserve">Anticipated longevity or duration of effects </w:t>
            </w:r>
          </w:p>
          <w:p w14:paraId="41D97378" w14:textId="133D4689" w:rsidR="00533E5B" w:rsidRDefault="00533E5B" w:rsidP="00F818FB">
            <w:pPr>
              <w:pStyle w:val="Bullet"/>
              <w:spacing w:after="40"/>
              <w:contextualSpacing w:val="0"/>
            </w:pPr>
            <w:r>
              <w:t xml:space="preserve">Precautions and contra-indications </w:t>
            </w:r>
          </w:p>
          <w:p w14:paraId="4E2FA4AD" w14:textId="6A3B8A79" w:rsidR="00533E5B" w:rsidRDefault="00533E5B" w:rsidP="00F818FB">
            <w:pPr>
              <w:pStyle w:val="Bullet"/>
              <w:spacing w:after="40"/>
              <w:contextualSpacing w:val="0"/>
            </w:pPr>
            <w:r>
              <w:t>Reconstitution – including the various options for reconstitution and rationale for each, amount of dilution, advantages and disadvantages of bacteriostatic saline (unlicensed)</w:t>
            </w:r>
          </w:p>
          <w:p w14:paraId="14CD51C6" w14:textId="77777777" w:rsidR="00533E5B" w:rsidRDefault="00533E5B" w:rsidP="00F818FB">
            <w:pPr>
              <w:pStyle w:val="Bullet"/>
              <w:spacing w:after="40"/>
              <w:contextualSpacing w:val="0"/>
            </w:pPr>
            <w:r>
              <w:t>Unit equivalence</w:t>
            </w:r>
          </w:p>
          <w:p w14:paraId="23C6D300" w14:textId="103D5DAB" w:rsidR="00533E5B" w:rsidRDefault="00533E5B" w:rsidP="00F818FB">
            <w:pPr>
              <w:pStyle w:val="Bullet"/>
              <w:spacing w:after="40"/>
              <w:contextualSpacing w:val="0"/>
            </w:pPr>
            <w:r>
              <w:t xml:space="preserve">Storage </w:t>
            </w:r>
          </w:p>
          <w:p w14:paraId="1D997813" w14:textId="77777777" w:rsidR="00533E5B" w:rsidRDefault="00533E5B" w:rsidP="00F818FB">
            <w:pPr>
              <w:pStyle w:val="Bullet"/>
              <w:spacing w:after="40"/>
              <w:contextualSpacing w:val="0"/>
            </w:pPr>
            <w:r>
              <w:t xml:space="preserve">Dosage </w:t>
            </w:r>
          </w:p>
          <w:p w14:paraId="23A038E9" w14:textId="77777777" w:rsidR="00533E5B" w:rsidRDefault="00533E5B" w:rsidP="00F818FB">
            <w:pPr>
              <w:pStyle w:val="Bullet"/>
              <w:spacing w:after="40"/>
              <w:contextualSpacing w:val="0"/>
            </w:pPr>
            <w:r>
              <w:t>Longevity and expiry</w:t>
            </w:r>
          </w:p>
          <w:p w14:paraId="54B40B79" w14:textId="77777777" w:rsidR="00533E5B" w:rsidRDefault="00533E5B" w:rsidP="00F818FB">
            <w:pPr>
              <w:pStyle w:val="Bullet"/>
              <w:spacing w:after="40"/>
              <w:contextualSpacing w:val="0"/>
            </w:pPr>
            <w:r>
              <w:t xml:space="preserve">Management of spillages/excess product </w:t>
            </w:r>
          </w:p>
          <w:p w14:paraId="1A291014" w14:textId="77777777" w:rsidR="00533E5B" w:rsidRDefault="00533E5B" w:rsidP="00F818FB">
            <w:pPr>
              <w:pStyle w:val="Bullet"/>
              <w:spacing w:after="40"/>
              <w:contextualSpacing w:val="0"/>
            </w:pPr>
            <w:r>
              <w:t xml:space="preserve">Safe disposal </w:t>
            </w:r>
          </w:p>
          <w:p w14:paraId="117B8BFF" w14:textId="35A0F5B6" w:rsidR="00533E5B" w:rsidRDefault="00533E5B" w:rsidP="00F818FB">
            <w:pPr>
              <w:pStyle w:val="Bullet"/>
              <w:spacing w:after="40"/>
              <w:contextualSpacing w:val="0"/>
            </w:pPr>
            <w:r>
              <w:t>Audit and accountability</w:t>
            </w:r>
          </w:p>
          <w:p w14:paraId="4BF3A0D9" w14:textId="620631E4" w:rsidR="00533E5B" w:rsidRDefault="00533E5B" w:rsidP="00EA27AA">
            <w:pPr>
              <w:pStyle w:val="Bullet"/>
            </w:pPr>
            <w:r>
              <w:t>Botulinum toxin is a neuro</w:t>
            </w:r>
            <w:r w:rsidR="008C0D43">
              <w:t>toxin protein derived from the c</w:t>
            </w:r>
            <w:r>
              <w:t>lostridium botulinum bacterium. When injected its action is to cause localised chemical denervation due to inhibition of acetylcholine release at the neuromuscular junction</w:t>
            </w:r>
          </w:p>
          <w:p w14:paraId="79667C16" w14:textId="77777777" w:rsidR="00533E5B" w:rsidRDefault="00533E5B" w:rsidP="00EA27AA">
            <w:pPr>
              <w:pStyle w:val="Bullet"/>
              <w:numPr>
                <w:ilvl w:val="0"/>
                <w:numId w:val="0"/>
              </w:numPr>
              <w:ind w:left="357" w:hanging="357"/>
            </w:pPr>
          </w:p>
          <w:p w14:paraId="5C6E72C2" w14:textId="4D457D48" w:rsidR="00533E5B" w:rsidRPr="00274B2A" w:rsidRDefault="00533E5B" w:rsidP="003B0CB6">
            <w:pPr>
              <w:rPr>
                <w:b/>
                <w:color w:val="702F8A"/>
              </w:rPr>
            </w:pPr>
            <w:r w:rsidRPr="00274B2A">
              <w:rPr>
                <w:b/>
                <w:color w:val="702F8A"/>
              </w:rPr>
              <w:t xml:space="preserve">1.2. </w:t>
            </w:r>
            <w:r>
              <w:rPr>
                <w:b/>
                <w:color w:val="702F8A"/>
              </w:rPr>
              <w:t>K</w:t>
            </w:r>
            <w:r w:rsidRPr="00EA27AA">
              <w:rPr>
                <w:b/>
                <w:color w:val="702F8A"/>
              </w:rPr>
              <w:t>ey components of neuromuscular synaptic transmission</w:t>
            </w:r>
            <w:r w:rsidRPr="00274B2A">
              <w:rPr>
                <w:b/>
                <w:color w:val="702F8A"/>
              </w:rPr>
              <w:t xml:space="preserve"> </w:t>
            </w:r>
          </w:p>
          <w:p w14:paraId="143552B9" w14:textId="7EFFC1B5" w:rsidR="00533E5B" w:rsidRDefault="00787303" w:rsidP="00EA27AA">
            <w:pPr>
              <w:pStyle w:val="Bullet"/>
            </w:pPr>
            <w:r>
              <w:t xml:space="preserve">For example, </w:t>
            </w:r>
            <w:r w:rsidR="00533E5B">
              <w:t>d</w:t>
            </w:r>
            <w:r w:rsidR="00533E5B" w:rsidRPr="00EA27AA">
              <w:t>epolarisation, enzyme activation and presynaptic; receptors, vesicles, neurotransmitters, ion channels, ions, synaptic machinery/proteins, tethering, docking and exocytosis. Postsynaptic; receptors and activation</w:t>
            </w:r>
          </w:p>
          <w:p w14:paraId="3A01038E" w14:textId="77777777" w:rsidR="00533E5B" w:rsidRDefault="00533E5B" w:rsidP="00EA27AA">
            <w:pPr>
              <w:pStyle w:val="Bullet"/>
              <w:numPr>
                <w:ilvl w:val="0"/>
                <w:numId w:val="0"/>
              </w:numPr>
              <w:ind w:left="357" w:hanging="357"/>
            </w:pPr>
          </w:p>
          <w:p w14:paraId="407443A3" w14:textId="05094DC1" w:rsidR="00533E5B" w:rsidRPr="00274B2A" w:rsidRDefault="00533E5B" w:rsidP="00EA27AA">
            <w:pPr>
              <w:rPr>
                <w:b/>
                <w:color w:val="702F8A"/>
              </w:rPr>
            </w:pPr>
            <w:r w:rsidRPr="00274B2A">
              <w:rPr>
                <w:b/>
                <w:color w:val="702F8A"/>
              </w:rPr>
              <w:t>1</w:t>
            </w:r>
            <w:r>
              <w:rPr>
                <w:b/>
                <w:color w:val="702F8A"/>
              </w:rPr>
              <w:t>.3</w:t>
            </w:r>
            <w:r w:rsidRPr="00274B2A">
              <w:rPr>
                <w:b/>
                <w:color w:val="702F8A"/>
              </w:rPr>
              <w:t xml:space="preserve">. </w:t>
            </w:r>
            <w:r w:rsidRPr="00EA27AA">
              <w:rPr>
                <w:b/>
                <w:color w:val="702F8A"/>
              </w:rPr>
              <w:t>Botulinum toxin mechanism of action, structure and variation between brands</w:t>
            </w:r>
            <w:r w:rsidRPr="00274B2A">
              <w:rPr>
                <w:b/>
                <w:color w:val="702F8A"/>
              </w:rPr>
              <w:t xml:space="preserve"> </w:t>
            </w:r>
          </w:p>
          <w:p w14:paraId="6A574F2C" w14:textId="22C9278C" w:rsidR="00533E5B" w:rsidRDefault="00787303" w:rsidP="00787303">
            <w:pPr>
              <w:pStyle w:val="Bullet"/>
            </w:pPr>
            <w:r w:rsidRPr="00787303">
              <w:t xml:space="preserve">For example, </w:t>
            </w:r>
            <w:r w:rsidR="00533E5B">
              <w:t>bind site, binding, reversibility and effects upon; synaptic machinery/proteins, tethering, docking, exocytosis, synaptic transmission and postsynaptic activation, metabolism</w:t>
            </w:r>
          </w:p>
          <w:p w14:paraId="32853C47" w14:textId="35D45018" w:rsidR="00533E5B" w:rsidRDefault="00533E5B" w:rsidP="00EA27AA">
            <w:pPr>
              <w:pStyle w:val="Bullet"/>
            </w:pPr>
            <w:r>
              <w:t xml:space="preserve">Licensed </w:t>
            </w:r>
            <w:r w:rsidR="007E15E3">
              <w:t>use for medical and cosmetic purposes</w:t>
            </w:r>
            <w:r>
              <w:t xml:space="preserve"> for the different toxin brands licensed for use in the UK</w:t>
            </w:r>
          </w:p>
          <w:p w14:paraId="47539D74" w14:textId="639C013D" w:rsidR="00533E5B" w:rsidRDefault="007E15E3" w:rsidP="00EA27AA">
            <w:pPr>
              <w:pStyle w:val="Bullet"/>
            </w:pPr>
            <w:r>
              <w:t xml:space="preserve">Pre-injection </w:t>
            </w:r>
            <w:r w:rsidR="00533E5B">
              <w:t xml:space="preserve">preparation techniques </w:t>
            </w:r>
            <w:r>
              <w:t>for</w:t>
            </w:r>
            <w:r w:rsidR="00533E5B">
              <w:t xml:space="preserve"> botulinum toxin products: storage, dilution, concentration and syringe preparation</w:t>
            </w:r>
          </w:p>
          <w:p w14:paraId="19FEE6FA" w14:textId="77777777" w:rsidR="00787303" w:rsidRDefault="00787303" w:rsidP="00787303">
            <w:pPr>
              <w:pStyle w:val="Bullet"/>
              <w:numPr>
                <w:ilvl w:val="0"/>
                <w:numId w:val="0"/>
              </w:numPr>
              <w:ind w:left="357"/>
            </w:pPr>
          </w:p>
          <w:p w14:paraId="1459EEC5" w14:textId="2A372E62" w:rsidR="00533E5B" w:rsidRPr="00274B2A" w:rsidRDefault="00533E5B" w:rsidP="00EA27AA">
            <w:pPr>
              <w:rPr>
                <w:b/>
                <w:color w:val="702F8A"/>
              </w:rPr>
            </w:pPr>
            <w:r w:rsidRPr="00274B2A">
              <w:rPr>
                <w:b/>
                <w:color w:val="702F8A"/>
              </w:rPr>
              <w:t>1</w:t>
            </w:r>
            <w:r>
              <w:rPr>
                <w:b/>
                <w:color w:val="702F8A"/>
              </w:rPr>
              <w:t>.4</w:t>
            </w:r>
            <w:r w:rsidRPr="00274B2A">
              <w:rPr>
                <w:b/>
                <w:color w:val="702F8A"/>
              </w:rPr>
              <w:t xml:space="preserve">. </w:t>
            </w:r>
            <w:r w:rsidRPr="00EA27AA">
              <w:rPr>
                <w:b/>
                <w:color w:val="702F8A"/>
              </w:rPr>
              <w:t>Dosage range of botulinum toxin products</w:t>
            </w:r>
            <w:r w:rsidRPr="00274B2A">
              <w:rPr>
                <w:b/>
                <w:color w:val="702F8A"/>
              </w:rPr>
              <w:t xml:space="preserve"> </w:t>
            </w:r>
          </w:p>
          <w:p w14:paraId="5929B27D" w14:textId="27EEA565" w:rsidR="00533E5B" w:rsidRDefault="00787303" w:rsidP="00EA27AA">
            <w:pPr>
              <w:pStyle w:val="Bullet"/>
            </w:pPr>
            <w:r>
              <w:t xml:space="preserve">For example, </w:t>
            </w:r>
            <w:r w:rsidR="00533E5B">
              <w:t>a</w:t>
            </w:r>
            <w:r w:rsidR="007E15E3">
              <w:t>dherence to manufacturer</w:t>
            </w:r>
            <w:r w:rsidR="00533E5B" w:rsidRPr="00EA27AA">
              <w:t>s</w:t>
            </w:r>
            <w:r w:rsidR="007E15E3">
              <w:t>’</w:t>
            </w:r>
            <w:r w:rsidR="00533E5B" w:rsidRPr="00EA27AA">
              <w:t xml:space="preserve"> instructions (and rationale for deviating</w:t>
            </w:r>
            <w:r w:rsidR="00533E5B">
              <w:t xml:space="preserve"> from) and common formulations. </w:t>
            </w:r>
            <w:r w:rsidR="007E15E3">
              <w:t>Licens</w:t>
            </w:r>
            <w:r w:rsidR="00533E5B" w:rsidRPr="00EA27AA">
              <w:t>ed dosages v</w:t>
            </w:r>
            <w:r>
              <w:t>s</w:t>
            </w:r>
            <w:r w:rsidR="00533E5B" w:rsidRPr="00EA27AA">
              <w:t xml:space="preserve"> best practice guidance</w:t>
            </w:r>
          </w:p>
          <w:p w14:paraId="685CF7C7" w14:textId="5617B06F" w:rsidR="00533E5B" w:rsidRPr="00274B2A" w:rsidRDefault="00533E5B" w:rsidP="00EA27AA">
            <w:pPr>
              <w:rPr>
                <w:b/>
                <w:color w:val="702F8A"/>
              </w:rPr>
            </w:pPr>
            <w:r w:rsidRPr="00274B2A">
              <w:rPr>
                <w:b/>
                <w:color w:val="702F8A"/>
              </w:rPr>
              <w:lastRenderedPageBreak/>
              <w:t>1</w:t>
            </w:r>
            <w:r>
              <w:rPr>
                <w:b/>
                <w:color w:val="702F8A"/>
              </w:rPr>
              <w:t>.5</w:t>
            </w:r>
            <w:r w:rsidRPr="00274B2A">
              <w:rPr>
                <w:b/>
                <w:color w:val="702F8A"/>
              </w:rPr>
              <w:t xml:space="preserve">. </w:t>
            </w:r>
            <w:r w:rsidRPr="00EA27AA">
              <w:rPr>
                <w:b/>
                <w:color w:val="702F8A"/>
              </w:rPr>
              <w:t>Pharmacodynamics of botulinum toxin</w:t>
            </w:r>
            <w:r w:rsidRPr="00274B2A">
              <w:rPr>
                <w:b/>
                <w:color w:val="702F8A"/>
              </w:rPr>
              <w:t xml:space="preserve"> </w:t>
            </w:r>
          </w:p>
          <w:p w14:paraId="2C794E82" w14:textId="536F6966" w:rsidR="00533E5B" w:rsidRDefault="00787303" w:rsidP="00787303">
            <w:pPr>
              <w:pStyle w:val="Bullet"/>
            </w:pPr>
            <w:r>
              <w:t>For example,</w:t>
            </w:r>
            <w:r w:rsidR="00533E5B" w:rsidRPr="00EA27AA">
              <w:t xml:space="preserve"> diffusion, migration, half-life, desired effects, undesired effects, therapeutic window, duration of action, dose-response curves and toxicity</w:t>
            </w:r>
          </w:p>
          <w:p w14:paraId="77D089C5" w14:textId="77777777" w:rsidR="00F818FB" w:rsidRDefault="00F818FB" w:rsidP="00F818FB">
            <w:pPr>
              <w:pStyle w:val="Bullet"/>
              <w:numPr>
                <w:ilvl w:val="0"/>
                <w:numId w:val="0"/>
              </w:numPr>
              <w:ind w:left="357"/>
            </w:pPr>
          </w:p>
          <w:p w14:paraId="61236BD1" w14:textId="12A207D5" w:rsidR="00533E5B" w:rsidRPr="00274B2A" w:rsidRDefault="00533E5B" w:rsidP="00EA27AA">
            <w:pPr>
              <w:rPr>
                <w:b/>
                <w:color w:val="702F8A"/>
              </w:rPr>
            </w:pPr>
            <w:r w:rsidRPr="00274B2A">
              <w:rPr>
                <w:b/>
                <w:color w:val="702F8A"/>
              </w:rPr>
              <w:t>1</w:t>
            </w:r>
            <w:r>
              <w:rPr>
                <w:b/>
                <w:color w:val="702F8A"/>
              </w:rPr>
              <w:t>.6</w:t>
            </w:r>
            <w:r w:rsidRPr="00274B2A">
              <w:rPr>
                <w:b/>
                <w:color w:val="702F8A"/>
              </w:rPr>
              <w:t xml:space="preserve">. </w:t>
            </w:r>
            <w:r w:rsidRPr="00EA27AA">
              <w:rPr>
                <w:b/>
                <w:color w:val="702F8A"/>
              </w:rPr>
              <w:t xml:space="preserve">Neuromuscular physiology after procedure with </w:t>
            </w:r>
            <w:r w:rsidR="008C0D43">
              <w:rPr>
                <w:b/>
                <w:color w:val="702F8A"/>
              </w:rPr>
              <w:t>b</w:t>
            </w:r>
            <w:r w:rsidRPr="00EA27AA">
              <w:rPr>
                <w:b/>
                <w:color w:val="702F8A"/>
              </w:rPr>
              <w:t>otulinum toxin</w:t>
            </w:r>
            <w:r w:rsidRPr="00274B2A">
              <w:rPr>
                <w:b/>
                <w:color w:val="702F8A"/>
              </w:rPr>
              <w:t xml:space="preserve"> </w:t>
            </w:r>
          </w:p>
          <w:p w14:paraId="268A1869" w14:textId="4C55C0CB" w:rsidR="00533E5B" w:rsidRDefault="00533E5B" w:rsidP="007E15E3">
            <w:pPr>
              <w:pStyle w:val="Bullet"/>
            </w:pPr>
            <w:r w:rsidRPr="00EA27AA">
              <w:t>Changes in the pre-synaptic structure and function, changes in the motor end plate and changes in the recovery</w:t>
            </w:r>
            <w:r w:rsidR="007E15E3">
              <w:t xml:space="preserve"> of </w:t>
            </w:r>
            <w:r w:rsidR="007E15E3" w:rsidRPr="00EA27AA">
              <w:t>muscle fibres</w:t>
            </w:r>
          </w:p>
        </w:tc>
      </w:tr>
    </w:tbl>
    <w:p w14:paraId="5A6B5FE8" w14:textId="72EFBCA2" w:rsidR="00EA27AA" w:rsidRDefault="00EA27AA" w:rsidP="00EA27AA"/>
    <w:p w14:paraId="72248C9B" w14:textId="77777777" w:rsidR="00EA27AA" w:rsidRPr="00EA27AA" w:rsidRDefault="00EA27AA" w:rsidP="00EA27AA"/>
    <w:p w14:paraId="3371791B" w14:textId="77777777" w:rsidR="00C35465" w:rsidRDefault="00C35465" w:rsidP="002C5C77">
      <w:pPr>
        <w:pStyle w:val="Bullet2"/>
        <w:numPr>
          <w:ilvl w:val="0"/>
          <w:numId w:val="0"/>
        </w:numPr>
        <w:rPr>
          <w:highlight w:val="yellow"/>
        </w:rPr>
      </w:pPr>
    </w:p>
    <w:p w14:paraId="233FC7D8" w14:textId="77777777" w:rsidR="00C35465" w:rsidRDefault="00C35465">
      <w:pPr>
        <w:spacing w:line="259" w:lineRule="auto"/>
        <w:rPr>
          <w:highlight w:val="yellow"/>
        </w:rPr>
      </w:pPr>
      <w:r>
        <w:rPr>
          <w:highlight w:val="yellow"/>
        </w:rPr>
        <w:br w:type="page"/>
      </w:r>
    </w:p>
    <w:p w14:paraId="60E26470" w14:textId="009C9528" w:rsidR="00807339" w:rsidRDefault="00807339" w:rsidP="00415B1F">
      <w:pPr>
        <w:pStyle w:val="Heading2"/>
      </w:pPr>
      <w:r w:rsidRPr="002818CD">
        <w:lastRenderedPageBreak/>
        <w:t xml:space="preserve">LO2 </w:t>
      </w:r>
      <w:r w:rsidR="00371BEA">
        <w:t>Comprehend</w:t>
      </w:r>
      <w:r w:rsidR="003B2CA5">
        <w:t xml:space="preserve"> how to </w:t>
      </w:r>
      <w:r w:rsidR="008234CF">
        <w:t xml:space="preserve">safely </w:t>
      </w:r>
      <w:r w:rsidR="00F57384">
        <w:t>administer</w:t>
      </w:r>
      <w:r>
        <w:t xml:space="preserve"> </w:t>
      </w:r>
      <w:r w:rsidR="003062A6">
        <w:t>botulinum toxin</w:t>
      </w:r>
      <w:r w:rsidRPr="002818CD">
        <w:t xml:space="preserve"> </w:t>
      </w: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533E5B" w:rsidRPr="007F0350" w14:paraId="4B1701F6" w14:textId="77777777" w:rsidTr="00DB5582">
        <w:trPr>
          <w:trHeight w:val="223"/>
        </w:trPr>
        <w:tc>
          <w:tcPr>
            <w:tcW w:w="5000" w:type="pct"/>
            <w:shd w:val="clear" w:color="auto" w:fill="EFDFF5"/>
            <w:tcMar>
              <w:top w:w="57" w:type="dxa"/>
              <w:bottom w:w="57" w:type="dxa"/>
            </w:tcMar>
            <w:vAlign w:val="center"/>
          </w:tcPr>
          <w:p w14:paraId="16A4CB46" w14:textId="61F53A5D" w:rsidR="00533E5B" w:rsidRPr="009E5A05" w:rsidRDefault="00533E5B" w:rsidP="00DB5582">
            <w:pPr>
              <w:pStyle w:val="Boldstatement"/>
            </w:pPr>
            <w:r>
              <w:t>Professional k</w:t>
            </w:r>
            <w:r w:rsidRPr="00996239">
              <w:t>nowledge</w:t>
            </w:r>
            <w:r>
              <w:t xml:space="preserve"> </w:t>
            </w:r>
          </w:p>
        </w:tc>
      </w:tr>
      <w:tr w:rsidR="009D65C1" w:rsidRPr="00003257" w14:paraId="1056E1AF" w14:textId="77777777" w:rsidTr="00DB5582">
        <w:trPr>
          <w:trHeight w:val="18"/>
        </w:trPr>
        <w:tc>
          <w:tcPr>
            <w:tcW w:w="5000" w:type="pct"/>
            <w:shd w:val="clear" w:color="auto" w:fill="E7E6E6"/>
            <w:tcMar>
              <w:top w:w="57" w:type="dxa"/>
              <w:bottom w:w="57" w:type="dxa"/>
            </w:tcMar>
          </w:tcPr>
          <w:p w14:paraId="4CB329C9" w14:textId="1642439E" w:rsidR="009D65C1" w:rsidRPr="0087609D" w:rsidRDefault="00533E5B" w:rsidP="00DB5582">
            <w:pPr>
              <w:tabs>
                <w:tab w:val="left" w:pos="1926"/>
              </w:tabs>
            </w:pPr>
            <w:r>
              <w:rPr>
                <w:color w:val="262626" w:themeColor="text1" w:themeTint="D9"/>
              </w:rPr>
              <w:t>Taught content to include</w:t>
            </w:r>
            <w:r w:rsidR="00F818FB">
              <w:rPr>
                <w:color w:val="262626" w:themeColor="text1" w:themeTint="D9"/>
              </w:rPr>
              <w:t>:</w:t>
            </w:r>
          </w:p>
        </w:tc>
      </w:tr>
      <w:tr w:rsidR="00533E5B" w14:paraId="1F4481DE" w14:textId="77777777" w:rsidTr="00533E5B">
        <w:tc>
          <w:tcPr>
            <w:tcW w:w="5000" w:type="pct"/>
            <w:tcMar>
              <w:top w:w="57" w:type="dxa"/>
              <w:bottom w:w="57" w:type="dxa"/>
            </w:tcMar>
          </w:tcPr>
          <w:p w14:paraId="701CABFF" w14:textId="33057085" w:rsidR="00533E5B" w:rsidRPr="00274B2A" w:rsidRDefault="00533E5B" w:rsidP="003B0CB6">
            <w:pPr>
              <w:rPr>
                <w:b/>
                <w:color w:val="702F8A"/>
              </w:rPr>
            </w:pPr>
            <w:r>
              <w:rPr>
                <w:b/>
                <w:color w:val="702F8A"/>
              </w:rPr>
              <w:t>2</w:t>
            </w:r>
            <w:r w:rsidRPr="00274B2A">
              <w:rPr>
                <w:b/>
                <w:color w:val="702F8A"/>
              </w:rPr>
              <w:t>.1.</w:t>
            </w:r>
            <w:r>
              <w:rPr>
                <w:b/>
                <w:color w:val="702F8A"/>
              </w:rPr>
              <w:t xml:space="preserve"> </w:t>
            </w:r>
            <w:r w:rsidRPr="009D65C1">
              <w:rPr>
                <w:b/>
                <w:color w:val="702F8A"/>
              </w:rPr>
              <w:t>Selection and use of appropriate PPE/C</w:t>
            </w:r>
          </w:p>
          <w:p w14:paraId="125EEF9D" w14:textId="77777777" w:rsidR="007F0945" w:rsidRDefault="007F0945" w:rsidP="007F0945">
            <w:pPr>
              <w:pStyle w:val="Bullet"/>
            </w:pPr>
            <w:r>
              <w:t xml:space="preserve">Identified and determined through risk assessment </w:t>
            </w:r>
          </w:p>
          <w:p w14:paraId="5F1B11EE" w14:textId="77777777" w:rsidR="007F0945" w:rsidRDefault="007F0945" w:rsidP="007F0945">
            <w:pPr>
              <w:pStyle w:val="Bullet2"/>
              <w:spacing w:after="60"/>
            </w:pPr>
            <w:r>
              <w:t xml:space="preserve">Training and information on the safe use of PPE/C provided to all employees /practitioners </w:t>
            </w:r>
          </w:p>
          <w:p w14:paraId="2C8BC4A2" w14:textId="77777777" w:rsidR="007F0945" w:rsidRDefault="007F0945" w:rsidP="007F0945">
            <w:pPr>
              <w:pStyle w:val="Bullet2"/>
              <w:spacing w:after="60"/>
            </w:pPr>
            <w:r>
              <w:t xml:space="preserve">Proper use and storage of PPE/C in place </w:t>
            </w:r>
          </w:p>
          <w:p w14:paraId="09034748" w14:textId="77777777" w:rsidR="007F0945" w:rsidRDefault="007F0945" w:rsidP="007F0945">
            <w:pPr>
              <w:pStyle w:val="Bullet2"/>
            </w:pPr>
            <w:r>
              <w:t xml:space="preserve">PPE/C maintained and replaced </w:t>
            </w:r>
          </w:p>
          <w:p w14:paraId="30A7F866" w14:textId="77777777" w:rsidR="00533E5B" w:rsidRPr="00DB5582" w:rsidRDefault="00533E5B" w:rsidP="003B0CB6">
            <w:pPr>
              <w:pStyle w:val="Bullet"/>
              <w:numPr>
                <w:ilvl w:val="0"/>
                <w:numId w:val="0"/>
              </w:numPr>
              <w:ind w:left="357" w:hanging="357"/>
              <w:rPr>
                <w:sz w:val="18"/>
              </w:rPr>
            </w:pPr>
          </w:p>
          <w:p w14:paraId="36F13354" w14:textId="20AFD0B0" w:rsidR="00533E5B" w:rsidRPr="00274B2A" w:rsidRDefault="00533E5B" w:rsidP="003B0CB6">
            <w:pPr>
              <w:rPr>
                <w:b/>
                <w:color w:val="702F8A"/>
              </w:rPr>
            </w:pPr>
            <w:r>
              <w:rPr>
                <w:b/>
                <w:color w:val="702F8A"/>
              </w:rPr>
              <w:t>2</w:t>
            </w:r>
            <w:r w:rsidRPr="00274B2A">
              <w:rPr>
                <w:b/>
                <w:color w:val="702F8A"/>
              </w:rPr>
              <w:t xml:space="preserve">.2. </w:t>
            </w:r>
            <w:r w:rsidRPr="009D65C1">
              <w:rPr>
                <w:b/>
                <w:color w:val="702F8A"/>
              </w:rPr>
              <w:t>Infection control skills</w:t>
            </w:r>
            <w:r w:rsidRPr="00274B2A">
              <w:rPr>
                <w:b/>
                <w:color w:val="702F8A"/>
              </w:rPr>
              <w:t xml:space="preserve"> </w:t>
            </w:r>
          </w:p>
          <w:p w14:paraId="0655F09E" w14:textId="737868D9" w:rsidR="00533E5B" w:rsidRDefault="006C744D" w:rsidP="007F0945">
            <w:pPr>
              <w:pStyle w:val="Bullet"/>
            </w:pPr>
            <w:r>
              <w:t xml:space="preserve">For example, </w:t>
            </w:r>
            <w:r w:rsidR="00533E5B">
              <w:t xml:space="preserve">practitioner handwashing, instrument sterilisation/disposal and use of chlorhexidine. Use universal infection control precautions including but not limited to; </w:t>
            </w:r>
            <w:r>
              <w:br/>
            </w:r>
            <w:r w:rsidR="00533E5B">
              <w:t xml:space="preserve">Aseptic No Touch Technique (ANTT), handwashing and appropriate skin preparation to minimise risk of infection </w:t>
            </w:r>
          </w:p>
          <w:p w14:paraId="3C42CD6A" w14:textId="0A299C8B" w:rsidR="006C744D" w:rsidRPr="00302C4E" w:rsidRDefault="00533E5B" w:rsidP="007F0945">
            <w:pPr>
              <w:pStyle w:val="Bullet"/>
            </w:pPr>
            <w:r w:rsidRPr="00302C4E">
              <w:t>Demonstrate aseptic tec</w:t>
            </w:r>
            <w:r w:rsidR="006C744D" w:rsidRPr="00302C4E">
              <w:t>hnique during administration of agreed procedure</w:t>
            </w:r>
            <w:r w:rsidRPr="00302C4E">
              <w:t xml:space="preserve"> </w:t>
            </w:r>
          </w:p>
          <w:p w14:paraId="5E4AE1EC" w14:textId="0A133130" w:rsidR="00533E5B" w:rsidRPr="00302C4E" w:rsidRDefault="006C744D" w:rsidP="007F0945">
            <w:pPr>
              <w:pStyle w:val="Bullet"/>
            </w:pPr>
            <w:r w:rsidRPr="00302C4E">
              <w:t>U</w:t>
            </w:r>
            <w:r w:rsidR="00533E5B" w:rsidRPr="00302C4E">
              <w:t>se of Personal Protective Equipment/Clothing (PPE/C)</w:t>
            </w:r>
          </w:p>
          <w:p w14:paraId="79CA14B7" w14:textId="465B859A" w:rsidR="00533E5B" w:rsidRPr="00302C4E" w:rsidRDefault="00533E5B" w:rsidP="003B0CB6">
            <w:pPr>
              <w:pStyle w:val="Bullet"/>
              <w:numPr>
                <w:ilvl w:val="0"/>
                <w:numId w:val="0"/>
              </w:numPr>
              <w:ind w:left="357" w:hanging="357"/>
              <w:rPr>
                <w:sz w:val="18"/>
              </w:rPr>
            </w:pPr>
          </w:p>
          <w:p w14:paraId="31441B56" w14:textId="725CF6C7" w:rsidR="00533E5B" w:rsidRPr="00302C4E" w:rsidRDefault="00533E5B" w:rsidP="009D65C1">
            <w:pPr>
              <w:rPr>
                <w:b/>
                <w:color w:val="702F8A"/>
              </w:rPr>
            </w:pPr>
            <w:r w:rsidRPr="00302C4E">
              <w:rPr>
                <w:b/>
                <w:color w:val="702F8A"/>
              </w:rPr>
              <w:t xml:space="preserve">2.3. Preparation of appropriate equipment and environment for agreed procedure </w:t>
            </w:r>
          </w:p>
          <w:p w14:paraId="1ECDF720" w14:textId="50C9A821" w:rsidR="00533E5B" w:rsidRPr="00302C4E" w:rsidRDefault="00533E5B">
            <w:pPr>
              <w:pStyle w:val="Bullet"/>
            </w:pPr>
            <w:r w:rsidRPr="00302C4E">
              <w:t xml:space="preserve">The premises (structure, fabric, fixtures and fittings) safe and healthy (suitable, maintained and kept clean) as per </w:t>
            </w:r>
            <w:r w:rsidR="00302C4E" w:rsidRPr="00302C4E">
              <w:t xml:space="preserve">direction from </w:t>
            </w:r>
            <w:r w:rsidR="00B65AA1">
              <w:t xml:space="preserve">Cosmetic Practice Standards Authority (CPSA) </w:t>
            </w:r>
          </w:p>
          <w:p w14:paraId="5E8E5320" w14:textId="43E6BD95" w:rsidR="00533E5B" w:rsidRDefault="00533E5B" w:rsidP="007F0945">
            <w:pPr>
              <w:pStyle w:val="Bullet"/>
            </w:pPr>
            <w:r w:rsidRPr="00302C4E">
              <w:t>The working environment (temperature, lighting, space, ventilation, noise) is an</w:t>
            </w:r>
            <w:r>
              <w:t xml:space="preserve"> appropriate</w:t>
            </w:r>
            <w:r w:rsidR="0062527A">
              <w:t>,</w:t>
            </w:r>
            <w:r>
              <w:t xml:space="preserve"> safe and healthy one </w:t>
            </w:r>
          </w:p>
          <w:p w14:paraId="1517DDED" w14:textId="5AE50A94" w:rsidR="00533E5B" w:rsidRDefault="00533E5B" w:rsidP="007F0945">
            <w:pPr>
              <w:pStyle w:val="Bullet"/>
            </w:pPr>
            <w:r>
              <w:t>Welf</w:t>
            </w:r>
            <w:r w:rsidR="0062527A">
              <w:t>are facilities (separate toilet</w:t>
            </w:r>
            <w:r>
              <w:t xml:space="preserve"> facilities for patients, washing, drinking, eating, changing) provided as appropriate and maintained </w:t>
            </w:r>
          </w:p>
          <w:p w14:paraId="4FA984C5" w14:textId="43381A83" w:rsidR="00533E5B" w:rsidRDefault="008C0D43" w:rsidP="007F0945">
            <w:pPr>
              <w:pStyle w:val="Bullet"/>
            </w:pPr>
            <w:r>
              <w:t>A</w:t>
            </w:r>
            <w:r w:rsidR="0062527A">
              <w:t xml:space="preserve">ccess to </w:t>
            </w:r>
            <w:r w:rsidR="00533E5B">
              <w:t>dedicated hand wash facilities that must be for hand washing only. The si</w:t>
            </w:r>
            <w:r w:rsidR="00A86FBC">
              <w:t>nk must not be dual purpose</w:t>
            </w:r>
            <w:r w:rsidR="0062527A">
              <w:t>,</w:t>
            </w:r>
            <w:r w:rsidR="00A86FBC">
              <w:t xml:space="preserve"> for example,</w:t>
            </w:r>
            <w:r w:rsidR="00533E5B">
              <w:t xml:space="preserve"> a kitchen or bathroom sink </w:t>
            </w:r>
          </w:p>
          <w:p w14:paraId="355751D5" w14:textId="77777777" w:rsidR="00533E5B" w:rsidRDefault="00533E5B" w:rsidP="007F0945">
            <w:pPr>
              <w:pStyle w:val="Bullet"/>
            </w:pPr>
            <w:r>
              <w:t xml:space="preserve">Multiple use equipment and devices cleaned or decontaminated between use </w:t>
            </w:r>
          </w:p>
          <w:p w14:paraId="71EB312B" w14:textId="77777777" w:rsidR="00533E5B" w:rsidRDefault="00533E5B" w:rsidP="007F0945">
            <w:pPr>
              <w:pStyle w:val="Bullet"/>
            </w:pPr>
            <w:r>
              <w:t>Single use and single person devices are not re-used or shared</w:t>
            </w:r>
          </w:p>
          <w:p w14:paraId="66CA21D3" w14:textId="32EC9614" w:rsidR="00533E5B" w:rsidRDefault="00533E5B" w:rsidP="007F0945">
            <w:pPr>
              <w:pStyle w:val="Bullet"/>
            </w:pPr>
            <w:r>
              <w:t xml:space="preserve">Appropriate laundry facilities and supplies of clean linen/towels sufficient for each procedure and for additional use for modesty reasons as required </w:t>
            </w:r>
          </w:p>
          <w:p w14:paraId="7380885F" w14:textId="116A1EC4" w:rsidR="00533E5B" w:rsidRDefault="00533E5B" w:rsidP="007F0945">
            <w:pPr>
              <w:pStyle w:val="Bullet"/>
            </w:pPr>
            <w:r>
              <w:t xml:space="preserve">Substances which fall under the Control of Substances Hazardous to Health Regulations 2002 in a suitable storage </w:t>
            </w:r>
            <w:r w:rsidR="0062527A">
              <w:t xml:space="preserve">container </w:t>
            </w:r>
            <w:r>
              <w:t xml:space="preserve">with safety data sheet  </w:t>
            </w:r>
          </w:p>
          <w:p w14:paraId="24FC93DB" w14:textId="77777777" w:rsidR="00533E5B" w:rsidRDefault="00533E5B" w:rsidP="007F0945">
            <w:pPr>
              <w:pStyle w:val="Bullet"/>
            </w:pPr>
            <w:r>
              <w:t xml:space="preserve">Exposure to hazards from physical, chemical and biological agents adequately controlled </w:t>
            </w:r>
          </w:p>
          <w:p w14:paraId="40213558" w14:textId="08C10F67" w:rsidR="00533E5B" w:rsidRDefault="00533E5B" w:rsidP="007F0945">
            <w:pPr>
              <w:pStyle w:val="Bullet"/>
            </w:pPr>
            <w:r>
              <w:t xml:space="preserve">Facilities are provided to ensure modesty and privacy appropriate to the procedure </w:t>
            </w:r>
          </w:p>
          <w:p w14:paraId="2AFF2212" w14:textId="77777777" w:rsidR="00533E5B" w:rsidRPr="00DB5582" w:rsidRDefault="00533E5B" w:rsidP="009D65C1">
            <w:pPr>
              <w:pStyle w:val="Bullet"/>
              <w:numPr>
                <w:ilvl w:val="0"/>
                <w:numId w:val="0"/>
              </w:numPr>
              <w:rPr>
                <w:sz w:val="18"/>
              </w:rPr>
            </w:pPr>
          </w:p>
          <w:p w14:paraId="3EB764D1" w14:textId="63D308FC" w:rsidR="00533E5B" w:rsidRPr="00274B2A" w:rsidRDefault="00533E5B" w:rsidP="009D65C1">
            <w:pPr>
              <w:rPr>
                <w:b/>
                <w:color w:val="702F8A"/>
              </w:rPr>
            </w:pPr>
            <w:r>
              <w:rPr>
                <w:b/>
                <w:color w:val="702F8A"/>
              </w:rPr>
              <w:t>2</w:t>
            </w:r>
            <w:r w:rsidRPr="00274B2A">
              <w:rPr>
                <w:b/>
                <w:color w:val="702F8A"/>
              </w:rPr>
              <w:t>.</w:t>
            </w:r>
            <w:r>
              <w:rPr>
                <w:b/>
                <w:color w:val="702F8A"/>
              </w:rPr>
              <w:t>4</w:t>
            </w:r>
            <w:r w:rsidRPr="00274B2A">
              <w:rPr>
                <w:b/>
                <w:color w:val="702F8A"/>
              </w:rPr>
              <w:t xml:space="preserve">. </w:t>
            </w:r>
            <w:r>
              <w:rPr>
                <w:b/>
                <w:color w:val="702F8A"/>
              </w:rPr>
              <w:t xml:space="preserve">Identification of procedure </w:t>
            </w:r>
            <w:r w:rsidRPr="009D65C1">
              <w:rPr>
                <w:b/>
                <w:color w:val="702F8A"/>
              </w:rPr>
              <w:t>site</w:t>
            </w:r>
            <w:r w:rsidRPr="00274B2A">
              <w:rPr>
                <w:b/>
                <w:color w:val="702F8A"/>
              </w:rPr>
              <w:t xml:space="preserve"> </w:t>
            </w:r>
          </w:p>
          <w:p w14:paraId="60228BF7" w14:textId="1DA187C0" w:rsidR="00533E5B" w:rsidRDefault="00533E5B" w:rsidP="007F0945">
            <w:pPr>
              <w:pStyle w:val="Bullet"/>
            </w:pPr>
            <w:r w:rsidRPr="009D65C1">
              <w:t>How to identify the area of the muscle with maximum contraction, identification of requirements and technique for intradermal and subdermal placement and</w:t>
            </w:r>
            <w:r w:rsidR="0062527A">
              <w:t xml:space="preserve"> intramuscular delivery; depende</w:t>
            </w:r>
            <w:r w:rsidRPr="009D65C1">
              <w:t>nt on muscle size, motor plaque, skin thickness and location relating to anatomy and anatomical plan</w:t>
            </w:r>
            <w:r w:rsidR="00A86FBC">
              <w:t>es for example,</w:t>
            </w:r>
            <w:r w:rsidRPr="009D65C1">
              <w:t xml:space="preserve"> frontalis muscle superior to and overlaying corrugators medially, therefore inject corrugators deeper</w:t>
            </w:r>
          </w:p>
          <w:p w14:paraId="40318397" w14:textId="25F1295F" w:rsidR="00533E5B" w:rsidRPr="00DB5582" w:rsidRDefault="00533E5B" w:rsidP="009D65C1">
            <w:pPr>
              <w:pStyle w:val="Bullet"/>
              <w:numPr>
                <w:ilvl w:val="0"/>
                <w:numId w:val="0"/>
              </w:numPr>
              <w:ind w:left="357" w:hanging="357"/>
              <w:rPr>
                <w:sz w:val="18"/>
              </w:rPr>
            </w:pPr>
          </w:p>
          <w:p w14:paraId="77CCDDE6" w14:textId="4CBB0D3C" w:rsidR="00533E5B" w:rsidRPr="00274B2A" w:rsidRDefault="00533E5B" w:rsidP="009D65C1">
            <w:pPr>
              <w:rPr>
                <w:b/>
                <w:color w:val="702F8A"/>
              </w:rPr>
            </w:pPr>
            <w:r>
              <w:rPr>
                <w:b/>
                <w:color w:val="702F8A"/>
              </w:rPr>
              <w:t>2</w:t>
            </w:r>
            <w:r w:rsidRPr="00274B2A">
              <w:rPr>
                <w:b/>
                <w:color w:val="702F8A"/>
              </w:rPr>
              <w:t>.</w:t>
            </w:r>
            <w:r>
              <w:rPr>
                <w:b/>
                <w:color w:val="702F8A"/>
              </w:rPr>
              <w:t>5</w:t>
            </w:r>
            <w:r w:rsidRPr="00274B2A">
              <w:rPr>
                <w:b/>
                <w:color w:val="702F8A"/>
              </w:rPr>
              <w:t xml:space="preserve">. </w:t>
            </w:r>
            <w:r w:rsidRPr="009D65C1">
              <w:rPr>
                <w:b/>
                <w:color w:val="702F8A"/>
              </w:rPr>
              <w:t>Product selection based upon professional judgment and patient needs</w:t>
            </w:r>
            <w:r w:rsidRPr="00274B2A">
              <w:rPr>
                <w:b/>
                <w:color w:val="702F8A"/>
              </w:rPr>
              <w:t xml:space="preserve"> </w:t>
            </w:r>
          </w:p>
          <w:p w14:paraId="5E888C04" w14:textId="4B7AC1BD" w:rsidR="00533E5B" w:rsidRDefault="00A86FBC" w:rsidP="007F0945">
            <w:pPr>
              <w:pStyle w:val="Bullet"/>
            </w:pPr>
            <w:r>
              <w:t>For example,</w:t>
            </w:r>
            <w:r w:rsidR="00533E5B">
              <w:t xml:space="preserve"> consideration of patient; goals, </w:t>
            </w:r>
            <w:r w:rsidR="00DB5582">
              <w:t>preferences and medical history</w:t>
            </w:r>
          </w:p>
          <w:p w14:paraId="0969C029" w14:textId="64C648B4" w:rsidR="00533E5B" w:rsidRDefault="00533E5B" w:rsidP="007F0945">
            <w:pPr>
              <w:pStyle w:val="Bullet"/>
            </w:pPr>
            <w:r>
              <w:t>Interpret manufacturers’ usage guidelines across a range o</w:t>
            </w:r>
            <w:r w:rsidR="00DB5582">
              <w:t xml:space="preserve">f botulinum toxin products, </w:t>
            </w:r>
            <w:r w:rsidR="00DB5582">
              <w:br/>
              <w:t>for example,</w:t>
            </w:r>
            <w:r>
              <w:t xml:space="preserve"> product dependent, patient dependent with adherence to manufacturers’ guidelines</w:t>
            </w:r>
          </w:p>
          <w:p w14:paraId="25E0026D" w14:textId="77777777" w:rsidR="00063CAC" w:rsidRDefault="00063CAC" w:rsidP="00063CAC"/>
          <w:p w14:paraId="67734CEE" w14:textId="2B89D76B" w:rsidR="00533E5B" w:rsidRPr="00274B2A" w:rsidRDefault="00533E5B" w:rsidP="009D65C1">
            <w:pPr>
              <w:rPr>
                <w:b/>
                <w:color w:val="702F8A"/>
              </w:rPr>
            </w:pPr>
            <w:r>
              <w:rPr>
                <w:b/>
                <w:color w:val="702F8A"/>
              </w:rPr>
              <w:lastRenderedPageBreak/>
              <w:t>2</w:t>
            </w:r>
            <w:r w:rsidRPr="00274B2A">
              <w:rPr>
                <w:b/>
                <w:color w:val="702F8A"/>
              </w:rPr>
              <w:t>.</w:t>
            </w:r>
            <w:r>
              <w:rPr>
                <w:b/>
                <w:color w:val="702F8A"/>
              </w:rPr>
              <w:t>6</w:t>
            </w:r>
            <w:r w:rsidRPr="00274B2A">
              <w:rPr>
                <w:b/>
                <w:color w:val="702F8A"/>
              </w:rPr>
              <w:t xml:space="preserve">. </w:t>
            </w:r>
            <w:r>
              <w:rPr>
                <w:b/>
                <w:color w:val="702F8A"/>
              </w:rPr>
              <w:t>A</w:t>
            </w:r>
            <w:r w:rsidRPr="009D65C1">
              <w:rPr>
                <w:b/>
                <w:color w:val="702F8A"/>
              </w:rPr>
              <w:t>dministration of botulinum toxin</w:t>
            </w:r>
            <w:r w:rsidRPr="00274B2A">
              <w:rPr>
                <w:b/>
                <w:color w:val="702F8A"/>
              </w:rPr>
              <w:t xml:space="preserve"> </w:t>
            </w:r>
          </w:p>
          <w:p w14:paraId="4184BB80" w14:textId="6D4B46E1" w:rsidR="00533E5B" w:rsidRDefault="00DB5582" w:rsidP="007F0945">
            <w:pPr>
              <w:pStyle w:val="Bullet"/>
            </w:pPr>
            <w:r>
              <w:t>For example,</w:t>
            </w:r>
            <w:r w:rsidR="00533E5B">
              <w:t xml:space="preserve"> a</w:t>
            </w:r>
            <w:r w:rsidR="00533E5B" w:rsidRPr="009D65C1">
              <w:t>dhere to patient consented care plan, demonstrate; safe syringe preparation, safe and accurate reconstitution and withdrawal into syringe, accuracy referring to injection site depth, volume</w:t>
            </w:r>
            <w:r w:rsidR="00533E5B">
              <w:t xml:space="preserve"> and dosage and safe techniques. </w:t>
            </w:r>
            <w:r w:rsidR="00533E5B" w:rsidRPr="003B0CB6">
              <w:t>Ease of flow, minimal plunger pressure. When to withdraw and reinsert</w:t>
            </w:r>
          </w:p>
          <w:p w14:paraId="5ED2DCBB" w14:textId="77777777" w:rsidR="00533E5B" w:rsidRDefault="00533E5B" w:rsidP="009D65C1">
            <w:pPr>
              <w:pStyle w:val="Bullet"/>
              <w:numPr>
                <w:ilvl w:val="0"/>
                <w:numId w:val="0"/>
              </w:numPr>
              <w:ind w:left="357" w:hanging="357"/>
            </w:pPr>
          </w:p>
          <w:p w14:paraId="0B7E35F3" w14:textId="0D97F8AF" w:rsidR="00533E5B" w:rsidRPr="00274B2A" w:rsidRDefault="00533E5B" w:rsidP="003B0CB6">
            <w:pPr>
              <w:rPr>
                <w:b/>
                <w:color w:val="702F8A"/>
              </w:rPr>
            </w:pPr>
            <w:r>
              <w:rPr>
                <w:b/>
                <w:color w:val="702F8A"/>
              </w:rPr>
              <w:t>2</w:t>
            </w:r>
            <w:r w:rsidRPr="00274B2A">
              <w:rPr>
                <w:b/>
                <w:color w:val="702F8A"/>
              </w:rPr>
              <w:t>.</w:t>
            </w:r>
            <w:r>
              <w:rPr>
                <w:b/>
                <w:color w:val="702F8A"/>
              </w:rPr>
              <w:t>7</w:t>
            </w:r>
            <w:r w:rsidRPr="00274B2A">
              <w:rPr>
                <w:b/>
                <w:color w:val="702F8A"/>
              </w:rPr>
              <w:t xml:space="preserve">. </w:t>
            </w:r>
            <w:r w:rsidRPr="003B0CB6">
              <w:rPr>
                <w:b/>
                <w:color w:val="702F8A"/>
              </w:rPr>
              <w:t>Safe and appropriate injection techniques</w:t>
            </w:r>
            <w:r w:rsidRPr="00274B2A">
              <w:rPr>
                <w:b/>
                <w:color w:val="702F8A"/>
              </w:rPr>
              <w:t xml:space="preserve"> </w:t>
            </w:r>
          </w:p>
          <w:p w14:paraId="03E86AF8" w14:textId="7C70ABC1" w:rsidR="00533E5B" w:rsidRDefault="00533E5B" w:rsidP="007F0945">
            <w:pPr>
              <w:pStyle w:val="Bullet"/>
            </w:pPr>
            <w:r w:rsidRPr="003B0CB6">
              <w:t>Awareness of areas to avoid, understanding the diffusion and migration of the product, how this is affec</w:t>
            </w:r>
            <w:r w:rsidR="0062527A">
              <w:t xml:space="preserve">ted by dilution and </w:t>
            </w:r>
            <w:r w:rsidRPr="003B0CB6">
              <w:t xml:space="preserve">the nearby structures (muscles) to avoid </w:t>
            </w:r>
            <w:r w:rsidR="00DB5582">
              <w:t>for example,</w:t>
            </w:r>
            <w:r w:rsidRPr="003B0CB6">
              <w:t xml:space="preserve"> low lateral frontalis, Muller’s </w:t>
            </w:r>
            <w:proofErr w:type="spellStart"/>
            <w:r w:rsidRPr="003B0CB6">
              <w:t>levator</w:t>
            </w:r>
            <w:proofErr w:type="spellEnd"/>
            <w:r w:rsidRPr="003B0CB6">
              <w:t xml:space="preserve"> palpebrae, depressor labii </w:t>
            </w:r>
            <w:proofErr w:type="spellStart"/>
            <w:r w:rsidRPr="003B0CB6">
              <w:t>inferioris</w:t>
            </w:r>
            <w:proofErr w:type="spellEnd"/>
            <w:r w:rsidRPr="003B0CB6">
              <w:t>, modiolus</w:t>
            </w:r>
            <w:r w:rsidR="0062527A">
              <w:t>,</w:t>
            </w:r>
            <w:r w:rsidRPr="003B0CB6">
              <w:t xml:space="preserve"> etc. The benefit of marking safety zones</w:t>
            </w:r>
          </w:p>
          <w:p w14:paraId="35BED05B" w14:textId="640CE047" w:rsidR="00533E5B" w:rsidRDefault="00533E5B" w:rsidP="003B0CB6">
            <w:pPr>
              <w:pStyle w:val="Bullet"/>
              <w:numPr>
                <w:ilvl w:val="0"/>
                <w:numId w:val="0"/>
              </w:numPr>
              <w:ind w:left="357" w:hanging="357"/>
            </w:pPr>
          </w:p>
          <w:p w14:paraId="548141B9" w14:textId="264ECF73" w:rsidR="00533E5B" w:rsidRPr="00274B2A" w:rsidRDefault="00533E5B" w:rsidP="003B0CB6">
            <w:pPr>
              <w:rPr>
                <w:b/>
                <w:color w:val="702F8A"/>
              </w:rPr>
            </w:pPr>
            <w:r>
              <w:rPr>
                <w:b/>
                <w:color w:val="702F8A"/>
              </w:rPr>
              <w:t>2</w:t>
            </w:r>
            <w:r w:rsidRPr="00274B2A">
              <w:rPr>
                <w:b/>
                <w:color w:val="702F8A"/>
              </w:rPr>
              <w:t>.</w:t>
            </w:r>
            <w:r>
              <w:rPr>
                <w:b/>
                <w:color w:val="702F8A"/>
              </w:rPr>
              <w:t>8</w:t>
            </w:r>
            <w:r w:rsidRPr="00274B2A">
              <w:rPr>
                <w:b/>
                <w:color w:val="702F8A"/>
              </w:rPr>
              <w:t xml:space="preserve">. </w:t>
            </w:r>
            <w:r w:rsidRPr="003B0CB6">
              <w:rPr>
                <w:b/>
                <w:color w:val="702F8A"/>
              </w:rPr>
              <w:t>Procedure delivery</w:t>
            </w:r>
            <w:r w:rsidRPr="00274B2A">
              <w:rPr>
                <w:b/>
                <w:color w:val="702F8A"/>
              </w:rPr>
              <w:t xml:space="preserve"> </w:t>
            </w:r>
          </w:p>
          <w:p w14:paraId="736A34C5" w14:textId="77777777" w:rsidR="00533E5B" w:rsidRDefault="00533E5B" w:rsidP="007F0945">
            <w:pPr>
              <w:pStyle w:val="Bullet"/>
            </w:pPr>
            <w:r>
              <w:t xml:space="preserve">These may include dynamic </w:t>
            </w:r>
            <w:proofErr w:type="spellStart"/>
            <w:r>
              <w:t>rhytides</w:t>
            </w:r>
            <w:proofErr w:type="spellEnd"/>
            <w:r>
              <w:t xml:space="preserve"> of the face caused by the action of</w:t>
            </w:r>
          </w:p>
          <w:p w14:paraId="4C774ECB" w14:textId="7EABCB06" w:rsidR="00533E5B" w:rsidRDefault="00533E5B" w:rsidP="007F0945">
            <w:pPr>
              <w:pStyle w:val="Bullet"/>
            </w:pPr>
            <w:r>
              <w:t>Glabellar complex</w:t>
            </w:r>
          </w:p>
          <w:p w14:paraId="1816AAE0" w14:textId="77777777" w:rsidR="00533E5B" w:rsidRDefault="00533E5B" w:rsidP="007F0945">
            <w:pPr>
              <w:pStyle w:val="Bullet"/>
            </w:pPr>
            <w:r>
              <w:t>Frontalis</w:t>
            </w:r>
          </w:p>
          <w:p w14:paraId="38A600C8" w14:textId="24A3898A" w:rsidR="00533E5B" w:rsidRDefault="00533E5B" w:rsidP="007F0945">
            <w:pPr>
              <w:pStyle w:val="Bullet"/>
            </w:pPr>
            <w:r>
              <w:t xml:space="preserve">Orbicularis </w:t>
            </w:r>
            <w:proofErr w:type="spellStart"/>
            <w:r>
              <w:t>occuli</w:t>
            </w:r>
            <w:proofErr w:type="spellEnd"/>
            <w:r>
              <w:t xml:space="preserve"> </w:t>
            </w:r>
          </w:p>
          <w:p w14:paraId="7DC32C4C" w14:textId="5378D557" w:rsidR="00533E5B" w:rsidRDefault="00533E5B" w:rsidP="007F0945">
            <w:pPr>
              <w:pStyle w:val="Bullet"/>
            </w:pPr>
            <w:r>
              <w:t>Compensatory mechanisms for lifting or lowering eyebrow</w:t>
            </w:r>
          </w:p>
          <w:p w14:paraId="4533D3FC" w14:textId="70E59EB9" w:rsidR="00533E5B" w:rsidRDefault="00533E5B" w:rsidP="00533E5B">
            <w:pPr>
              <w:pStyle w:val="Bullet"/>
              <w:numPr>
                <w:ilvl w:val="0"/>
                <w:numId w:val="0"/>
              </w:numPr>
            </w:pPr>
          </w:p>
          <w:p w14:paraId="6858A135" w14:textId="153100EE" w:rsidR="00533E5B" w:rsidRPr="00274B2A" w:rsidRDefault="00533E5B" w:rsidP="003B0CB6">
            <w:pPr>
              <w:rPr>
                <w:b/>
                <w:color w:val="702F8A"/>
              </w:rPr>
            </w:pPr>
            <w:r>
              <w:rPr>
                <w:b/>
                <w:color w:val="702F8A"/>
              </w:rPr>
              <w:t>2</w:t>
            </w:r>
            <w:r w:rsidRPr="00274B2A">
              <w:rPr>
                <w:b/>
                <w:color w:val="702F8A"/>
              </w:rPr>
              <w:t>.</w:t>
            </w:r>
            <w:r>
              <w:rPr>
                <w:b/>
                <w:color w:val="702F8A"/>
              </w:rPr>
              <w:t>9</w:t>
            </w:r>
            <w:r w:rsidRPr="00274B2A">
              <w:rPr>
                <w:b/>
                <w:color w:val="702F8A"/>
              </w:rPr>
              <w:t xml:space="preserve">. </w:t>
            </w:r>
            <w:r w:rsidR="00F27E65">
              <w:rPr>
                <w:b/>
                <w:color w:val="702F8A"/>
              </w:rPr>
              <w:t>Patient</w:t>
            </w:r>
            <w:r w:rsidR="006313B1">
              <w:rPr>
                <w:b/>
                <w:color w:val="702F8A"/>
              </w:rPr>
              <w:t xml:space="preserve"> </w:t>
            </w:r>
            <w:r w:rsidRPr="003B0CB6">
              <w:rPr>
                <w:b/>
                <w:color w:val="702F8A"/>
              </w:rPr>
              <w:t>Comfort</w:t>
            </w:r>
            <w:r w:rsidRPr="00274B2A">
              <w:rPr>
                <w:b/>
                <w:color w:val="702F8A"/>
              </w:rPr>
              <w:t xml:space="preserve"> </w:t>
            </w:r>
          </w:p>
          <w:p w14:paraId="1038117E" w14:textId="075E1CD7" w:rsidR="00533E5B" w:rsidRDefault="00533E5B" w:rsidP="007F0945">
            <w:pPr>
              <w:pStyle w:val="Bullet"/>
            </w:pPr>
            <w:r>
              <w:t xml:space="preserve">Positioning of patient. Use of compression to reduce bleeding and discomfort. Risks and benefits (comfort) of diluting with bacteriostatic saline. Avoidance of vigorously massaging </w:t>
            </w:r>
            <w:r w:rsidR="00DB5582">
              <w:br/>
            </w:r>
            <w:r>
              <w:t>the site. Pain management: use of anaesthetic (local or topical), speed of injection</w:t>
            </w:r>
          </w:p>
          <w:p w14:paraId="2B2D568E" w14:textId="5203BC7B" w:rsidR="00533E5B" w:rsidRDefault="00533E5B" w:rsidP="007F0945">
            <w:pPr>
              <w:pStyle w:val="Bullet"/>
            </w:pPr>
            <w:r>
              <w:t>Requirements of changing the needle to minimise discomfort</w:t>
            </w:r>
          </w:p>
          <w:p w14:paraId="09720F92" w14:textId="77777777" w:rsidR="00533E5B" w:rsidRDefault="00533E5B" w:rsidP="003B0CB6">
            <w:pPr>
              <w:rPr>
                <w:b/>
                <w:color w:val="702F8A"/>
              </w:rPr>
            </w:pPr>
          </w:p>
          <w:p w14:paraId="0F81D061" w14:textId="2A0833BD" w:rsidR="00533E5B" w:rsidRPr="00274B2A" w:rsidRDefault="00533E5B" w:rsidP="003B0CB6">
            <w:pPr>
              <w:rPr>
                <w:b/>
                <w:color w:val="702F8A"/>
              </w:rPr>
            </w:pPr>
            <w:r>
              <w:rPr>
                <w:b/>
                <w:color w:val="702F8A"/>
              </w:rPr>
              <w:t>2</w:t>
            </w:r>
            <w:r w:rsidRPr="00274B2A">
              <w:rPr>
                <w:b/>
                <w:color w:val="702F8A"/>
              </w:rPr>
              <w:t>.</w:t>
            </w:r>
            <w:r>
              <w:rPr>
                <w:b/>
                <w:color w:val="702F8A"/>
              </w:rPr>
              <w:t>10</w:t>
            </w:r>
            <w:r w:rsidRPr="00274B2A">
              <w:rPr>
                <w:b/>
                <w:color w:val="702F8A"/>
              </w:rPr>
              <w:t xml:space="preserve">. </w:t>
            </w:r>
            <w:r w:rsidRPr="003B0CB6">
              <w:rPr>
                <w:b/>
                <w:color w:val="702F8A"/>
              </w:rPr>
              <w:t>Aftercare and effects</w:t>
            </w:r>
            <w:r w:rsidRPr="00274B2A">
              <w:rPr>
                <w:b/>
                <w:color w:val="702F8A"/>
              </w:rPr>
              <w:t xml:space="preserve"> </w:t>
            </w:r>
          </w:p>
          <w:p w14:paraId="0223C48D" w14:textId="1C73F7B3" w:rsidR="00533E5B" w:rsidRDefault="00533E5B" w:rsidP="007F0945">
            <w:pPr>
              <w:pStyle w:val="Bullet"/>
            </w:pPr>
            <w:r w:rsidRPr="003B0CB6">
              <w:t>Effects 2-3 days, 1-2 weeks post application</w:t>
            </w:r>
          </w:p>
          <w:p w14:paraId="15A46AB8" w14:textId="77777777" w:rsidR="00533E5B" w:rsidRDefault="00533E5B" w:rsidP="009D65C1">
            <w:pPr>
              <w:pStyle w:val="Bullet"/>
              <w:numPr>
                <w:ilvl w:val="0"/>
                <w:numId w:val="0"/>
              </w:numPr>
              <w:ind w:left="357" w:hanging="357"/>
            </w:pPr>
          </w:p>
          <w:p w14:paraId="1FCF14AA" w14:textId="2D6CACF0" w:rsidR="00533E5B" w:rsidRPr="00274B2A" w:rsidRDefault="00533E5B" w:rsidP="003B0CB6">
            <w:pPr>
              <w:rPr>
                <w:b/>
                <w:color w:val="702F8A"/>
              </w:rPr>
            </w:pPr>
            <w:r>
              <w:rPr>
                <w:b/>
                <w:color w:val="702F8A"/>
              </w:rPr>
              <w:t>2</w:t>
            </w:r>
            <w:r w:rsidRPr="00274B2A">
              <w:rPr>
                <w:b/>
                <w:color w:val="702F8A"/>
              </w:rPr>
              <w:t>.</w:t>
            </w:r>
            <w:r>
              <w:rPr>
                <w:b/>
                <w:color w:val="702F8A"/>
              </w:rPr>
              <w:t>11</w:t>
            </w:r>
            <w:r w:rsidRPr="00274B2A">
              <w:rPr>
                <w:b/>
                <w:color w:val="702F8A"/>
              </w:rPr>
              <w:t xml:space="preserve">. </w:t>
            </w:r>
            <w:r w:rsidRPr="003B0CB6">
              <w:rPr>
                <w:b/>
                <w:color w:val="702F8A"/>
              </w:rPr>
              <w:t>Minimising the risk of side effects</w:t>
            </w:r>
          </w:p>
          <w:p w14:paraId="3CDBE13A" w14:textId="0F1547E2" w:rsidR="00533E5B" w:rsidRDefault="00533E5B" w:rsidP="007F0945">
            <w:pPr>
              <w:pStyle w:val="Bullet"/>
            </w:pPr>
            <w:r>
              <w:t>Avoiding heat or activity that might cause flushing – tanning, massage</w:t>
            </w:r>
            <w:r w:rsidR="0062527A">
              <w:t>,</w:t>
            </w:r>
            <w:r>
              <w:t xml:space="preserve"> waxing</w:t>
            </w:r>
            <w:r w:rsidR="0062527A">
              <w:t>,</w:t>
            </w:r>
            <w:r>
              <w:t xml:space="preserve"> etc., exercise, alcohol</w:t>
            </w:r>
            <w:r w:rsidR="0062527A">
              <w:t>,</w:t>
            </w:r>
            <w:r>
              <w:t xml:space="preserve"> to reduce risk of product migration or side effects</w:t>
            </w:r>
          </w:p>
          <w:p w14:paraId="5A5C3720" w14:textId="4F7102C8" w:rsidR="00533E5B" w:rsidRDefault="00533E5B" w:rsidP="007F0945">
            <w:pPr>
              <w:pStyle w:val="Bullet"/>
            </w:pPr>
            <w:r>
              <w:t>Avoid rubbing the treated areas for 24 hours and maintain hygiene, including the avoidance of make-up for a minimum of 4 to 6 hours</w:t>
            </w:r>
          </w:p>
          <w:p w14:paraId="6658847D" w14:textId="5A5DF7EB" w:rsidR="00533E5B" w:rsidRDefault="00533E5B" w:rsidP="007F0945">
            <w:pPr>
              <w:pStyle w:val="Bullet"/>
            </w:pPr>
            <w:r>
              <w:t xml:space="preserve">Botulinum </w:t>
            </w:r>
            <w:r w:rsidR="009B12DF">
              <w:t>t</w:t>
            </w:r>
            <w:r>
              <w:t>oxin resistance: antibodies</w:t>
            </w:r>
          </w:p>
          <w:p w14:paraId="7285DEB3" w14:textId="77777777" w:rsidR="00533E5B" w:rsidRDefault="00533E5B" w:rsidP="009D65C1">
            <w:pPr>
              <w:pStyle w:val="Bullet"/>
              <w:numPr>
                <w:ilvl w:val="0"/>
                <w:numId w:val="0"/>
              </w:numPr>
              <w:ind w:left="357" w:hanging="357"/>
            </w:pPr>
          </w:p>
          <w:p w14:paraId="59253860" w14:textId="706A41E4" w:rsidR="00533E5B" w:rsidRPr="00274B2A" w:rsidRDefault="00533E5B" w:rsidP="003B0CB6">
            <w:pPr>
              <w:rPr>
                <w:b/>
                <w:color w:val="702F8A"/>
              </w:rPr>
            </w:pPr>
            <w:r>
              <w:rPr>
                <w:b/>
                <w:color w:val="702F8A"/>
              </w:rPr>
              <w:t>2</w:t>
            </w:r>
            <w:r w:rsidRPr="00274B2A">
              <w:rPr>
                <w:b/>
                <w:color w:val="702F8A"/>
              </w:rPr>
              <w:t>.</w:t>
            </w:r>
            <w:r>
              <w:rPr>
                <w:b/>
                <w:color w:val="702F8A"/>
              </w:rPr>
              <w:t>12</w:t>
            </w:r>
            <w:r w:rsidRPr="00274B2A">
              <w:rPr>
                <w:b/>
                <w:color w:val="702F8A"/>
              </w:rPr>
              <w:t xml:space="preserve">. </w:t>
            </w:r>
            <w:r w:rsidRPr="003B0CB6">
              <w:rPr>
                <w:b/>
                <w:color w:val="702F8A"/>
              </w:rPr>
              <w:t>Expected results and future procedure  planning</w:t>
            </w:r>
            <w:r w:rsidRPr="00274B2A">
              <w:rPr>
                <w:b/>
                <w:color w:val="702F8A"/>
              </w:rPr>
              <w:t xml:space="preserve"> </w:t>
            </w:r>
          </w:p>
          <w:p w14:paraId="670D9139" w14:textId="42FC8557" w:rsidR="00533E5B" w:rsidRDefault="00533E5B" w:rsidP="007F0945">
            <w:pPr>
              <w:pStyle w:val="Bullet"/>
            </w:pPr>
            <w:r>
              <w:t>Expected results in static and dynamic lines, when, how and why touch up procedures are required. Response variations between static and dynamic lines. Possibility of alternative procedures to achieve the desired effect in static lines</w:t>
            </w:r>
          </w:p>
          <w:p w14:paraId="03F091F2" w14:textId="0E892C13" w:rsidR="00533E5B" w:rsidRDefault="00533E5B" w:rsidP="007F0945">
            <w:pPr>
              <w:pStyle w:val="Bullet"/>
            </w:pPr>
            <w:r>
              <w:t>Advice on the expected longevity of procedure specifically tailored to the patient, return of muscle function</w:t>
            </w:r>
          </w:p>
          <w:p w14:paraId="1577731E" w14:textId="77777777" w:rsidR="00533E5B" w:rsidRDefault="00533E5B" w:rsidP="009D65C1">
            <w:pPr>
              <w:pStyle w:val="Bullet"/>
              <w:numPr>
                <w:ilvl w:val="0"/>
                <w:numId w:val="0"/>
              </w:numPr>
              <w:ind w:left="357" w:hanging="357"/>
            </w:pPr>
          </w:p>
          <w:p w14:paraId="1A5A0770" w14:textId="2CC0D1E6" w:rsidR="00533E5B" w:rsidRPr="00274B2A" w:rsidRDefault="00533E5B" w:rsidP="003B0CB6">
            <w:pPr>
              <w:rPr>
                <w:b/>
                <w:color w:val="702F8A"/>
              </w:rPr>
            </w:pPr>
            <w:r>
              <w:rPr>
                <w:b/>
                <w:color w:val="702F8A"/>
              </w:rPr>
              <w:t>2</w:t>
            </w:r>
            <w:r w:rsidRPr="00274B2A">
              <w:rPr>
                <w:b/>
                <w:color w:val="702F8A"/>
              </w:rPr>
              <w:t>.</w:t>
            </w:r>
            <w:r>
              <w:rPr>
                <w:b/>
                <w:color w:val="702F8A"/>
              </w:rPr>
              <w:t>13</w:t>
            </w:r>
            <w:r w:rsidRPr="00274B2A">
              <w:rPr>
                <w:b/>
                <w:color w:val="702F8A"/>
              </w:rPr>
              <w:t xml:space="preserve">. </w:t>
            </w:r>
            <w:r w:rsidRPr="003B0CB6">
              <w:rPr>
                <w:b/>
                <w:color w:val="702F8A"/>
              </w:rPr>
              <w:t>Recording details of procedure</w:t>
            </w:r>
          </w:p>
          <w:p w14:paraId="3B712DCB" w14:textId="3E73669E" w:rsidR="00533E5B" w:rsidRDefault="00533E5B" w:rsidP="007F0945">
            <w:pPr>
              <w:pStyle w:val="Bullet"/>
            </w:pPr>
            <w:r>
              <w:t>Clearly a</w:t>
            </w:r>
            <w:r w:rsidR="00DB5582">
              <w:t xml:space="preserve">nd contemporaneously </w:t>
            </w:r>
            <w:r w:rsidR="0062527A">
              <w:t xml:space="preserve">record </w:t>
            </w:r>
            <w:r w:rsidR="00DB5582">
              <w:t xml:space="preserve">procedure </w:t>
            </w:r>
            <w:r>
              <w:t xml:space="preserve">provided as per professional guidance </w:t>
            </w:r>
          </w:p>
          <w:p w14:paraId="7FF6A746" w14:textId="20F6B4AD" w:rsidR="00533E5B" w:rsidRDefault="00533E5B" w:rsidP="007F0945">
            <w:pPr>
              <w:pStyle w:val="Bullet"/>
            </w:pPr>
            <w:r>
              <w:t xml:space="preserve">Pre-procedure/baseline image recording </w:t>
            </w:r>
          </w:p>
          <w:p w14:paraId="62194E81" w14:textId="61FCD487" w:rsidR="006313B1" w:rsidRDefault="0062527A" w:rsidP="007F0945">
            <w:pPr>
              <w:pStyle w:val="Bullet"/>
            </w:pPr>
            <w:r>
              <w:t>At procedure episode:</w:t>
            </w:r>
            <w:r w:rsidR="00533E5B">
              <w:t xml:space="preserve"> brand, product name, batch code, expiry date, diluent, volume injected, dosage, site, technique, depth, volume injected, needle admi</w:t>
            </w:r>
            <w:r w:rsidR="00DB5582">
              <w:t>nistration, additional products</w:t>
            </w:r>
            <w:r w:rsidR="00533E5B">
              <w:t>/medicines injected. Adverse events. Device specification as applicable</w:t>
            </w:r>
          </w:p>
          <w:p w14:paraId="611E5ECE" w14:textId="31567BBE" w:rsidR="00533E5B" w:rsidRDefault="00533E5B" w:rsidP="007F0945">
            <w:pPr>
              <w:pStyle w:val="Bullet"/>
            </w:pPr>
            <w:r w:rsidRPr="003B0CB6">
              <w:lastRenderedPageBreak/>
              <w:t>Take post procedure images for comparisons for procedure impact and evaluation of procedure outcome. Ensure images are captured in the same manner as pre-procedure images were recorded</w:t>
            </w:r>
          </w:p>
          <w:p w14:paraId="6C4766AB" w14:textId="4D202A3E" w:rsidR="00851AAB" w:rsidRDefault="00851AAB">
            <w:pPr>
              <w:pStyle w:val="Bullet"/>
            </w:pPr>
            <w:r>
              <w:t>Aftercare advice and follow-</w:t>
            </w:r>
            <w:r w:rsidRPr="00DD3BE1">
              <w:t xml:space="preserve">up information or advice given verbally, </w:t>
            </w:r>
            <w:r>
              <w:t xml:space="preserve"> </w:t>
            </w:r>
            <w:r w:rsidRPr="00DD3BE1">
              <w:t>in writing, e-mail or text</w:t>
            </w:r>
          </w:p>
          <w:p w14:paraId="087A0CF6" w14:textId="77777777" w:rsidR="00533E5B" w:rsidRDefault="00533E5B" w:rsidP="003B0CB6">
            <w:pPr>
              <w:pStyle w:val="Bullet"/>
              <w:numPr>
                <w:ilvl w:val="0"/>
                <w:numId w:val="0"/>
              </w:numPr>
              <w:ind w:left="357" w:hanging="357"/>
            </w:pPr>
          </w:p>
          <w:p w14:paraId="254628FD" w14:textId="20EDC3D1" w:rsidR="00533E5B" w:rsidRPr="00274B2A" w:rsidRDefault="00533E5B" w:rsidP="003B0CB6">
            <w:pPr>
              <w:rPr>
                <w:b/>
                <w:color w:val="702F8A"/>
              </w:rPr>
            </w:pPr>
            <w:r>
              <w:rPr>
                <w:b/>
                <w:color w:val="702F8A"/>
              </w:rPr>
              <w:t>2</w:t>
            </w:r>
            <w:r w:rsidRPr="00274B2A">
              <w:rPr>
                <w:b/>
                <w:color w:val="702F8A"/>
              </w:rPr>
              <w:t>.</w:t>
            </w:r>
            <w:r>
              <w:rPr>
                <w:b/>
                <w:color w:val="702F8A"/>
              </w:rPr>
              <w:t>1</w:t>
            </w:r>
            <w:r w:rsidR="006313B1">
              <w:rPr>
                <w:b/>
                <w:color w:val="702F8A"/>
              </w:rPr>
              <w:t>4</w:t>
            </w:r>
            <w:r w:rsidRPr="00274B2A">
              <w:rPr>
                <w:b/>
                <w:color w:val="702F8A"/>
              </w:rPr>
              <w:t xml:space="preserve">. </w:t>
            </w:r>
            <w:r w:rsidRPr="003B0CB6">
              <w:rPr>
                <w:b/>
                <w:color w:val="702F8A"/>
              </w:rPr>
              <w:t>Developing an aftercare plan</w:t>
            </w:r>
            <w:r w:rsidRPr="00274B2A">
              <w:rPr>
                <w:b/>
                <w:color w:val="702F8A"/>
              </w:rPr>
              <w:t xml:space="preserve"> </w:t>
            </w:r>
          </w:p>
          <w:p w14:paraId="49353AD9" w14:textId="31CF0083" w:rsidR="00533E5B" w:rsidRDefault="00DB5582" w:rsidP="007F0945">
            <w:pPr>
              <w:pStyle w:val="Bullet"/>
            </w:pPr>
            <w:r>
              <w:t xml:space="preserve">For example, </w:t>
            </w:r>
            <w:r w:rsidR="00533E5B">
              <w:t>provide recommendations for outcome, promoting maintenance and risk mitigation. Contact patient GP (if appropri</w:t>
            </w:r>
            <w:r>
              <w:t>ate)</w:t>
            </w:r>
            <w:r w:rsidR="00533E5B">
              <w:t xml:space="preserve"> </w:t>
            </w:r>
          </w:p>
          <w:p w14:paraId="1A1F661C" w14:textId="670264D8" w:rsidR="00533E5B" w:rsidRDefault="00533E5B" w:rsidP="007F0945">
            <w:pPr>
              <w:pStyle w:val="Bullet"/>
            </w:pPr>
            <w:r>
              <w:t>Post procedure aftercare advice and follow up information or advice given verbally, in writing, e-mail or text</w:t>
            </w:r>
          </w:p>
          <w:p w14:paraId="0F9F363F" w14:textId="246B1CC8" w:rsidR="00533E5B" w:rsidRDefault="00533E5B" w:rsidP="007F0945">
            <w:pPr>
              <w:pStyle w:val="Bullet"/>
            </w:pPr>
            <w:r>
              <w:t>Provide necessary post-procedure medicines/equipment and information regarding/</w:t>
            </w:r>
            <w:r w:rsidR="0062527A">
              <w:t xml:space="preserve"> </w:t>
            </w:r>
            <w:r>
              <w:t>supporting prompt adverse event (emergency plan) and what to do in the event of absence (contingency plan), reporting and mana</w:t>
            </w:r>
            <w:r w:rsidR="0062527A">
              <w:t>gement. Identify to the patient:</w:t>
            </w:r>
            <w:r>
              <w:t xml:space="preserve"> required follow-up appointments, available support networks and referral options. Document within the patient records</w:t>
            </w:r>
            <w:r w:rsidR="0062527A">
              <w:t>:</w:t>
            </w:r>
            <w:r>
              <w:t xml:space="preserve"> aftercare plan discussions, considerations and con</w:t>
            </w:r>
            <w:r w:rsidR="0062527A">
              <w:t>clusions and consent guidance as</w:t>
            </w:r>
            <w:r>
              <w:t xml:space="preserve"> </w:t>
            </w:r>
            <w:r w:rsidR="0062527A">
              <w:t>per</w:t>
            </w:r>
            <w:r>
              <w:t xml:space="preserve"> General Data Protection Regulation (GDPR)</w:t>
            </w:r>
          </w:p>
          <w:p w14:paraId="358441F1" w14:textId="77777777" w:rsidR="00533E5B" w:rsidRDefault="00533E5B" w:rsidP="009D65C1">
            <w:pPr>
              <w:pStyle w:val="Bullet"/>
              <w:numPr>
                <w:ilvl w:val="0"/>
                <w:numId w:val="0"/>
              </w:numPr>
              <w:ind w:left="357" w:hanging="357"/>
            </w:pPr>
          </w:p>
          <w:p w14:paraId="0B0C8D08" w14:textId="6509DB3E" w:rsidR="00533E5B" w:rsidRPr="00274B2A" w:rsidRDefault="00533E5B" w:rsidP="003B0CB6">
            <w:pPr>
              <w:rPr>
                <w:b/>
                <w:color w:val="702F8A"/>
              </w:rPr>
            </w:pPr>
            <w:r>
              <w:rPr>
                <w:b/>
                <w:color w:val="702F8A"/>
              </w:rPr>
              <w:t>2</w:t>
            </w:r>
            <w:r w:rsidRPr="00274B2A">
              <w:rPr>
                <w:b/>
                <w:color w:val="702F8A"/>
              </w:rPr>
              <w:t>.</w:t>
            </w:r>
            <w:r>
              <w:rPr>
                <w:b/>
                <w:color w:val="702F8A"/>
              </w:rPr>
              <w:t>1</w:t>
            </w:r>
            <w:r w:rsidR="006313B1">
              <w:rPr>
                <w:b/>
                <w:color w:val="702F8A"/>
              </w:rPr>
              <w:t>5</w:t>
            </w:r>
            <w:r w:rsidRPr="00274B2A">
              <w:rPr>
                <w:b/>
                <w:color w:val="702F8A"/>
              </w:rPr>
              <w:t xml:space="preserve">. </w:t>
            </w:r>
            <w:r w:rsidRPr="003B0CB6">
              <w:rPr>
                <w:b/>
                <w:color w:val="702F8A"/>
              </w:rPr>
              <w:t>Disposal techniques for all used equipment</w:t>
            </w:r>
            <w:r w:rsidRPr="00274B2A">
              <w:rPr>
                <w:b/>
                <w:color w:val="702F8A"/>
              </w:rPr>
              <w:t xml:space="preserve"> </w:t>
            </w:r>
          </w:p>
          <w:p w14:paraId="7B8B139D" w14:textId="703A423E" w:rsidR="00533E5B" w:rsidRDefault="00533E5B" w:rsidP="007F0945">
            <w:pPr>
              <w:pStyle w:val="Bullet"/>
            </w:pPr>
            <w:r>
              <w:t>S</w:t>
            </w:r>
            <w:r w:rsidRPr="003B0CB6">
              <w:t xml:space="preserve">afely and appropriately following relevant guidance </w:t>
            </w:r>
          </w:p>
          <w:p w14:paraId="396F65BD" w14:textId="77777777" w:rsidR="00354CAD" w:rsidRDefault="00354CAD" w:rsidP="00354CAD">
            <w:pPr>
              <w:pStyle w:val="Bullet"/>
            </w:pPr>
            <w:r>
              <w:t>Medicine waste should be stored securely until disposal</w:t>
            </w:r>
          </w:p>
          <w:p w14:paraId="019EE78B" w14:textId="77777777" w:rsidR="00354CAD" w:rsidRDefault="00354CAD" w:rsidP="00354CAD">
            <w:pPr>
              <w:pStyle w:val="Bullet"/>
            </w:pPr>
            <w:r>
              <w:t>Suitable arrangements for the disposal of medicines and medical devices must be in place. The Department of Health ‘Management and disposal of healthcare waste (HTM 07-01)’ guidance should be followed</w:t>
            </w:r>
          </w:p>
          <w:p w14:paraId="5EA7FD64" w14:textId="77777777" w:rsidR="00533E5B" w:rsidRDefault="00533E5B" w:rsidP="009D65C1">
            <w:pPr>
              <w:pStyle w:val="Bullet"/>
              <w:numPr>
                <w:ilvl w:val="0"/>
                <w:numId w:val="0"/>
              </w:numPr>
              <w:ind w:left="357" w:hanging="357"/>
            </w:pPr>
          </w:p>
          <w:p w14:paraId="63F994D9" w14:textId="060C294E" w:rsidR="00533E5B" w:rsidRPr="00274B2A" w:rsidRDefault="00533E5B" w:rsidP="003B0CB6">
            <w:pPr>
              <w:rPr>
                <w:b/>
                <w:color w:val="702F8A"/>
              </w:rPr>
            </w:pPr>
            <w:r>
              <w:rPr>
                <w:b/>
                <w:color w:val="702F8A"/>
              </w:rPr>
              <w:t>2</w:t>
            </w:r>
            <w:r w:rsidRPr="00274B2A">
              <w:rPr>
                <w:b/>
                <w:color w:val="702F8A"/>
              </w:rPr>
              <w:t>.</w:t>
            </w:r>
            <w:r>
              <w:rPr>
                <w:b/>
                <w:color w:val="702F8A"/>
              </w:rPr>
              <w:t>1</w:t>
            </w:r>
            <w:r w:rsidR="006313B1">
              <w:rPr>
                <w:b/>
                <w:color w:val="702F8A"/>
              </w:rPr>
              <w:t>6</w:t>
            </w:r>
            <w:r w:rsidRPr="00274B2A">
              <w:rPr>
                <w:b/>
                <w:color w:val="702F8A"/>
              </w:rPr>
              <w:t xml:space="preserve">. </w:t>
            </w:r>
            <w:r w:rsidRPr="003B0CB6">
              <w:rPr>
                <w:b/>
                <w:color w:val="702F8A"/>
              </w:rPr>
              <w:t>Evaluating effectiveness of procedure(s) provided</w:t>
            </w:r>
          </w:p>
          <w:p w14:paraId="58028DF6" w14:textId="0DA5CF79" w:rsidR="00533E5B" w:rsidRDefault="00533E5B" w:rsidP="007F0945">
            <w:pPr>
              <w:pStyle w:val="Bullet"/>
            </w:pPr>
            <w:r>
              <w:t>Reasons for reviewing efficacy and</w:t>
            </w:r>
            <w:r w:rsidR="00ED0287">
              <w:t xml:space="preserve"> outcome of procedure at follow-</w:t>
            </w:r>
            <w:r>
              <w:t>up appointments. Correct asymmetry where required, taking further images with patient consent ensuring that ‘review’ procedure</w:t>
            </w:r>
            <w:r w:rsidR="00ED0287">
              <w:t>,</w:t>
            </w:r>
            <w:r>
              <w:t xml:space="preserve"> where required, is administered within 4 weeks of original procedure</w:t>
            </w:r>
          </w:p>
          <w:p w14:paraId="4ADBD827" w14:textId="3DA18C00" w:rsidR="00533E5B" w:rsidRDefault="00533E5B" w:rsidP="007F0945">
            <w:pPr>
              <w:pStyle w:val="Bullet"/>
            </w:pPr>
            <w:r>
              <w:t>H</w:t>
            </w:r>
            <w:r w:rsidR="00ED0287">
              <w:t>ow to evaluate their own practic</w:t>
            </w:r>
            <w:r>
              <w:t>e against recognised standards, (def</w:t>
            </w:r>
            <w:r w:rsidR="00ED0287">
              <w:t>ined number of patients</w:t>
            </w:r>
            <w:r>
              <w:t xml:space="preserve"> following CPSA guidance) this process should facilitate quality improvement. If areas of improvement are identified, a plan should be made to implement change and </w:t>
            </w:r>
            <w:r w:rsidR="00A43B6E">
              <w:br/>
            </w:r>
            <w:r>
              <w:t xml:space="preserve">re-audit performance. Identify issues for continuous quality improvement including review </w:t>
            </w:r>
            <w:r w:rsidR="00A43B6E">
              <w:br/>
            </w:r>
            <w:r>
              <w:t xml:space="preserve">of accepted protocols </w:t>
            </w:r>
          </w:p>
          <w:p w14:paraId="3E66B929" w14:textId="764617C9" w:rsidR="00533E5B" w:rsidRDefault="00533E5B" w:rsidP="007F0945">
            <w:pPr>
              <w:pStyle w:val="Bullet"/>
            </w:pPr>
            <w:r>
              <w:t>Treating other practitioner</w:t>
            </w:r>
            <w:r w:rsidR="00ED0287">
              <w:t>s’</w:t>
            </w:r>
            <w:r>
              <w:t xml:space="preserve"> patients: must ensure that</w:t>
            </w:r>
            <w:r w:rsidR="00ED0287">
              <w:t>,</w:t>
            </w:r>
            <w:r>
              <w:t xml:space="preserve"> prior to any procedure</w:t>
            </w:r>
            <w:r w:rsidR="00ED0287">
              <w:t>,</w:t>
            </w:r>
            <w:r>
              <w:t xml:space="preserve"> medical </w:t>
            </w:r>
            <w:r w:rsidR="00A43B6E">
              <w:br/>
            </w:r>
            <w:r>
              <w:t xml:space="preserve">records are obtained of any previous/recent procedure. Know the product, dose and area </w:t>
            </w:r>
            <w:r w:rsidR="00A43B6E">
              <w:br/>
            </w:r>
            <w:r>
              <w:t>of procedure</w:t>
            </w:r>
          </w:p>
        </w:tc>
      </w:tr>
    </w:tbl>
    <w:p w14:paraId="28D9225B" w14:textId="10CF36B6" w:rsidR="009D65C1" w:rsidRDefault="009D65C1" w:rsidP="009D65C1"/>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533E5B" w:rsidRPr="007F0350" w14:paraId="2230B104" w14:textId="77777777" w:rsidTr="00533E5B">
        <w:tc>
          <w:tcPr>
            <w:tcW w:w="5000" w:type="pct"/>
            <w:shd w:val="clear" w:color="auto" w:fill="EFDFF5"/>
            <w:tcMar>
              <w:top w:w="57" w:type="dxa"/>
              <w:bottom w:w="57" w:type="dxa"/>
            </w:tcMar>
            <w:vAlign w:val="center"/>
          </w:tcPr>
          <w:p w14:paraId="0E0CF571" w14:textId="1862DDC4" w:rsidR="00533E5B" w:rsidRPr="009E5A05" w:rsidRDefault="00533E5B" w:rsidP="003B0CB6">
            <w:pPr>
              <w:pStyle w:val="Boldstatement"/>
            </w:pPr>
            <w:r w:rsidRPr="003B0CB6">
              <w:t>Professional skill</w:t>
            </w:r>
          </w:p>
        </w:tc>
      </w:tr>
      <w:tr w:rsidR="003B0CB6" w:rsidRPr="00003257" w14:paraId="44FB1130" w14:textId="77777777" w:rsidTr="003B0CB6">
        <w:tc>
          <w:tcPr>
            <w:tcW w:w="5000" w:type="pct"/>
            <w:shd w:val="clear" w:color="auto" w:fill="E7E6E6"/>
            <w:tcMar>
              <w:top w:w="57" w:type="dxa"/>
              <w:bottom w:w="57" w:type="dxa"/>
            </w:tcMar>
          </w:tcPr>
          <w:p w14:paraId="4103AC70" w14:textId="127376B6" w:rsidR="003B0CB6" w:rsidRPr="0087609D" w:rsidRDefault="00533E5B" w:rsidP="003B0CB6">
            <w:pPr>
              <w:tabs>
                <w:tab w:val="left" w:pos="1926"/>
              </w:tabs>
              <w:spacing w:before="20" w:after="20"/>
            </w:pPr>
            <w:r>
              <w:rPr>
                <w:color w:val="262626" w:themeColor="text1" w:themeTint="D9"/>
              </w:rPr>
              <w:t>Taught content to include</w:t>
            </w:r>
            <w:r w:rsidR="00A43B6E">
              <w:rPr>
                <w:color w:val="262626" w:themeColor="text1" w:themeTint="D9"/>
              </w:rPr>
              <w:t>:</w:t>
            </w:r>
          </w:p>
        </w:tc>
      </w:tr>
      <w:tr w:rsidR="00533E5B" w14:paraId="40E6B144" w14:textId="77777777" w:rsidTr="00533E5B">
        <w:tc>
          <w:tcPr>
            <w:tcW w:w="5000" w:type="pct"/>
            <w:tcMar>
              <w:top w:w="57" w:type="dxa"/>
              <w:bottom w:w="57" w:type="dxa"/>
            </w:tcMar>
          </w:tcPr>
          <w:p w14:paraId="6ECF49BB" w14:textId="1B9954A7" w:rsidR="00533E5B" w:rsidRPr="00274B2A" w:rsidRDefault="00533E5B" w:rsidP="003B0CB6">
            <w:pPr>
              <w:rPr>
                <w:b/>
                <w:color w:val="702F8A"/>
              </w:rPr>
            </w:pPr>
            <w:r>
              <w:rPr>
                <w:b/>
                <w:color w:val="702F8A"/>
              </w:rPr>
              <w:t>2</w:t>
            </w:r>
            <w:r w:rsidRPr="00274B2A">
              <w:rPr>
                <w:b/>
                <w:color w:val="702F8A"/>
              </w:rPr>
              <w:t>.1</w:t>
            </w:r>
            <w:r w:rsidR="00AE2153">
              <w:rPr>
                <w:b/>
                <w:color w:val="702F8A"/>
              </w:rPr>
              <w:t>7</w:t>
            </w:r>
            <w:r w:rsidRPr="00274B2A">
              <w:rPr>
                <w:b/>
                <w:color w:val="702F8A"/>
              </w:rPr>
              <w:t>.</w:t>
            </w:r>
            <w:r>
              <w:rPr>
                <w:b/>
                <w:color w:val="702F8A"/>
              </w:rPr>
              <w:t xml:space="preserve"> U</w:t>
            </w:r>
            <w:r w:rsidRPr="00B03C88">
              <w:rPr>
                <w:b/>
                <w:color w:val="702F8A"/>
              </w:rPr>
              <w:t>se of needle</w:t>
            </w:r>
          </w:p>
          <w:p w14:paraId="4C1B5AE7" w14:textId="42D5F139" w:rsidR="00533E5B" w:rsidRDefault="00533E5B" w:rsidP="00B03C88">
            <w:pPr>
              <w:pStyle w:val="Bullet"/>
            </w:pPr>
            <w:r>
              <w:t>How to utilise safe and appropriate injection techniques in line wit</w:t>
            </w:r>
            <w:r w:rsidR="00ED0287">
              <w:t>h product characteristics/licensed and off licenc</w:t>
            </w:r>
            <w:r>
              <w:t>e indications, of available botulinum toxins to suit the patient</w:t>
            </w:r>
            <w:r w:rsidR="00ED0287">
              <w:t>’</w:t>
            </w:r>
            <w:r>
              <w:t>s aims, presenting factors and consultation outcomes. Methods of monitoring the health and wellbeing of the patient during and post procedure</w:t>
            </w:r>
          </w:p>
          <w:p w14:paraId="507B2616" w14:textId="2494009C" w:rsidR="00533E5B" w:rsidRDefault="00533E5B" w:rsidP="00B03C88">
            <w:pPr>
              <w:pStyle w:val="Bullet"/>
            </w:pPr>
            <w:r>
              <w:t>Reconstituting and storing botulinum toxin products</w:t>
            </w:r>
            <w:r w:rsidR="00ED0287">
              <w:t>,</w:t>
            </w:r>
            <w:r>
              <w:t xml:space="preserve"> </w:t>
            </w:r>
            <w:r w:rsidR="00A43B6E">
              <w:t>for example, p</w:t>
            </w:r>
            <w:r>
              <w:t>roduct dependent and requires adherence to manufacturers’ guidelines</w:t>
            </w:r>
          </w:p>
          <w:p w14:paraId="49006A8F" w14:textId="3155D93A" w:rsidR="00533E5B" w:rsidRDefault="00533E5B" w:rsidP="00A43B6E">
            <w:pPr>
              <w:pStyle w:val="Bullet"/>
            </w:pPr>
            <w:r>
              <w:t>Adjusting botulinum toxin dosage in accordance with individualised pr</w:t>
            </w:r>
            <w:r w:rsidR="00A43B6E">
              <w:t>ocedure plans: for example,</w:t>
            </w:r>
            <w:r>
              <w:t xml:space="preserve"> </w:t>
            </w:r>
            <w:r w:rsidR="00A43B6E">
              <w:t>a</w:t>
            </w:r>
            <w:r>
              <w:t>nalyse patient facial muscle size and associated impact on injection sites</w:t>
            </w:r>
          </w:p>
        </w:tc>
      </w:tr>
    </w:tbl>
    <w:p w14:paraId="1B0EEF6A" w14:textId="54A84F5E" w:rsidR="00C35465" w:rsidRDefault="00C35465" w:rsidP="00C35465">
      <w:pPr>
        <w:pStyle w:val="Heading2"/>
      </w:pPr>
      <w:r>
        <w:rPr>
          <w:szCs w:val="28"/>
        </w:rPr>
        <w:lastRenderedPageBreak/>
        <w:t>LO</w:t>
      </w:r>
      <w:r w:rsidR="003062A6">
        <w:rPr>
          <w:szCs w:val="28"/>
        </w:rPr>
        <w:t>3</w:t>
      </w:r>
      <w:r>
        <w:rPr>
          <w:szCs w:val="28"/>
        </w:rPr>
        <w:t xml:space="preserve"> </w:t>
      </w:r>
      <w:r w:rsidR="00D0283A">
        <w:rPr>
          <w:szCs w:val="28"/>
        </w:rPr>
        <w:t>Evaluate</w:t>
      </w:r>
      <w:r w:rsidR="00180683">
        <w:t xml:space="preserve"> </w:t>
      </w:r>
      <w:r w:rsidR="000A5C94">
        <w:t xml:space="preserve">procedure </w:t>
      </w:r>
      <w:r w:rsidR="00180683">
        <w:t>risks and the management of adverse e</w:t>
      </w:r>
      <w:r w:rsidR="00BD78E2">
        <w:t>vents</w:t>
      </w: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533E5B" w:rsidRPr="007F0350" w14:paraId="5EFAEEE4" w14:textId="77777777" w:rsidTr="00533E5B">
        <w:tc>
          <w:tcPr>
            <w:tcW w:w="5000" w:type="pct"/>
            <w:shd w:val="clear" w:color="auto" w:fill="EFDFF5"/>
            <w:tcMar>
              <w:top w:w="57" w:type="dxa"/>
              <w:bottom w:w="57" w:type="dxa"/>
            </w:tcMar>
            <w:vAlign w:val="center"/>
          </w:tcPr>
          <w:p w14:paraId="2BD9D631" w14:textId="0A94A21F" w:rsidR="00533E5B" w:rsidRPr="009E5A05" w:rsidRDefault="00533E5B" w:rsidP="00AB3C8A">
            <w:pPr>
              <w:pStyle w:val="Boldstatement"/>
            </w:pPr>
            <w:r w:rsidRPr="00B03C88">
              <w:t>Professional knowledge</w:t>
            </w:r>
          </w:p>
        </w:tc>
      </w:tr>
      <w:tr w:rsidR="00B03C88" w:rsidRPr="00003257" w14:paraId="5C62A5BB" w14:textId="77777777" w:rsidTr="00AB3C8A">
        <w:tc>
          <w:tcPr>
            <w:tcW w:w="5000" w:type="pct"/>
            <w:shd w:val="clear" w:color="auto" w:fill="E7E6E6"/>
            <w:tcMar>
              <w:top w:w="57" w:type="dxa"/>
              <w:bottom w:w="57" w:type="dxa"/>
            </w:tcMar>
          </w:tcPr>
          <w:p w14:paraId="5BAB798B" w14:textId="457B5425" w:rsidR="00B03C88" w:rsidRPr="0087609D" w:rsidRDefault="00B03C88" w:rsidP="00AB3C8A">
            <w:pPr>
              <w:tabs>
                <w:tab w:val="left" w:pos="1926"/>
              </w:tabs>
              <w:spacing w:before="20" w:after="20"/>
            </w:pPr>
            <w:r>
              <w:rPr>
                <w:color w:val="262626" w:themeColor="text1" w:themeTint="D9"/>
              </w:rPr>
              <w:t xml:space="preserve">Taught content to </w:t>
            </w:r>
            <w:r w:rsidR="00533E5B">
              <w:rPr>
                <w:color w:val="262626" w:themeColor="text1" w:themeTint="D9"/>
              </w:rPr>
              <w:t>include</w:t>
            </w:r>
            <w:r w:rsidR="00A43B6E">
              <w:rPr>
                <w:color w:val="262626" w:themeColor="text1" w:themeTint="D9"/>
              </w:rPr>
              <w:t>:</w:t>
            </w:r>
          </w:p>
        </w:tc>
      </w:tr>
      <w:tr w:rsidR="00533E5B" w14:paraId="1C70E097" w14:textId="77777777" w:rsidTr="00533E5B">
        <w:tc>
          <w:tcPr>
            <w:tcW w:w="5000" w:type="pct"/>
            <w:tcMar>
              <w:top w:w="57" w:type="dxa"/>
              <w:bottom w:w="57" w:type="dxa"/>
            </w:tcMar>
          </w:tcPr>
          <w:p w14:paraId="519B0C91" w14:textId="7C9EF1FD" w:rsidR="006313B1" w:rsidRDefault="00533E5B" w:rsidP="00FD223A">
            <w:pPr>
              <w:rPr>
                <w:b/>
                <w:color w:val="702F8A"/>
              </w:rPr>
            </w:pPr>
            <w:r>
              <w:rPr>
                <w:b/>
                <w:color w:val="702F8A"/>
              </w:rPr>
              <w:t>3.</w:t>
            </w:r>
            <w:r w:rsidR="006313B1">
              <w:rPr>
                <w:b/>
                <w:color w:val="702F8A"/>
              </w:rPr>
              <w:t>1</w:t>
            </w:r>
            <w:r w:rsidRPr="00274B2A">
              <w:rPr>
                <w:b/>
                <w:color w:val="702F8A"/>
              </w:rPr>
              <w:t>.</w:t>
            </w:r>
            <w:r>
              <w:rPr>
                <w:b/>
                <w:color w:val="702F8A"/>
              </w:rPr>
              <w:t xml:space="preserve"> </w:t>
            </w:r>
            <w:r w:rsidRPr="00B03C88">
              <w:rPr>
                <w:b/>
                <w:color w:val="702F8A"/>
              </w:rPr>
              <w:t>Risks associated with a range of common procedure</w:t>
            </w:r>
            <w:r w:rsidR="00766729">
              <w:rPr>
                <w:b/>
                <w:color w:val="702F8A"/>
              </w:rPr>
              <w:t>s</w:t>
            </w:r>
            <w:r w:rsidRPr="00B03C88">
              <w:rPr>
                <w:b/>
                <w:color w:val="702F8A"/>
              </w:rPr>
              <w:t xml:space="preserve"> </w:t>
            </w:r>
          </w:p>
          <w:p w14:paraId="62E07E5C" w14:textId="1F796996" w:rsidR="006313B1" w:rsidRDefault="006313B1" w:rsidP="00FD223A">
            <w:r>
              <w:rPr>
                <w:b/>
                <w:color w:val="702F8A"/>
              </w:rPr>
              <w:t xml:space="preserve">        </w:t>
            </w:r>
            <w:r w:rsidR="00A43B6E">
              <w:t>For example,</w:t>
            </w:r>
            <w:r w:rsidR="00533E5B" w:rsidRPr="00B03C88">
              <w:t xml:space="preserve"> risks associated wi</w:t>
            </w:r>
            <w:r w:rsidR="00ED0287">
              <w:t>th; glabellar frown lines, crow</w:t>
            </w:r>
            <w:r w:rsidR="00533E5B" w:rsidRPr="00B03C88">
              <w:t>s</w:t>
            </w:r>
            <w:r w:rsidR="00ED0287">
              <w:t>’</w:t>
            </w:r>
            <w:r w:rsidR="00533E5B" w:rsidRPr="00B03C88">
              <w:t xml:space="preserve"> feet and lower face </w:t>
            </w:r>
          </w:p>
          <w:p w14:paraId="4AA79DB8" w14:textId="4A97F17E" w:rsidR="00533E5B" w:rsidRDefault="006313B1" w:rsidP="00FD223A">
            <w:r>
              <w:t xml:space="preserve">        </w:t>
            </w:r>
            <w:r w:rsidR="00533E5B" w:rsidRPr="00B03C88">
              <w:t xml:space="preserve">procedures, identifying and avoiding danger zones appropriate to procedure  </w:t>
            </w:r>
          </w:p>
          <w:p w14:paraId="12E572B6" w14:textId="77777777" w:rsidR="00533E5B" w:rsidRDefault="00533E5B" w:rsidP="00B03C88">
            <w:pPr>
              <w:pStyle w:val="Bullet"/>
              <w:numPr>
                <w:ilvl w:val="0"/>
                <w:numId w:val="0"/>
              </w:numPr>
              <w:ind w:left="357" w:hanging="357"/>
            </w:pPr>
          </w:p>
          <w:p w14:paraId="059F3F59" w14:textId="0FD466FA" w:rsidR="00533E5B" w:rsidRPr="00274B2A" w:rsidRDefault="00533E5B" w:rsidP="00B03C88">
            <w:pPr>
              <w:rPr>
                <w:b/>
                <w:color w:val="702F8A"/>
              </w:rPr>
            </w:pPr>
            <w:r>
              <w:rPr>
                <w:b/>
                <w:color w:val="702F8A"/>
              </w:rPr>
              <w:t>3.</w:t>
            </w:r>
            <w:r w:rsidR="006313B1">
              <w:rPr>
                <w:b/>
                <w:color w:val="702F8A"/>
              </w:rPr>
              <w:t>2</w:t>
            </w:r>
            <w:r w:rsidRPr="00274B2A">
              <w:rPr>
                <w:b/>
                <w:color w:val="702F8A"/>
              </w:rPr>
              <w:t>.</w:t>
            </w:r>
            <w:r>
              <w:rPr>
                <w:b/>
                <w:color w:val="702F8A"/>
              </w:rPr>
              <w:t xml:space="preserve"> </w:t>
            </w:r>
            <w:r w:rsidRPr="00B03C88">
              <w:rPr>
                <w:b/>
                <w:color w:val="702F8A"/>
              </w:rPr>
              <w:t>Potential adverse effects</w:t>
            </w:r>
          </w:p>
          <w:p w14:paraId="494DE6BD" w14:textId="097F1CCC" w:rsidR="00533E5B" w:rsidRDefault="00A43B6E" w:rsidP="00B03C88">
            <w:pPr>
              <w:pStyle w:val="Bullet"/>
            </w:pPr>
            <w:r>
              <w:t>For example,</w:t>
            </w:r>
            <w:r w:rsidR="00533E5B">
              <w:t xml:space="preserve"> b</w:t>
            </w:r>
            <w:r w:rsidR="00533E5B" w:rsidRPr="00B03C88">
              <w:t xml:space="preserve">ruising, swelling, ecchymosis, pain, headache, surface oedema, periorbital oedema, facial paresis, facial asymmetry, ptosis, dry eyes, dry mouth, drooling, lip drooping, difficulty swallowing, difficulty speaking, allergic/anaphylactic reaction and respiratory distress  </w:t>
            </w:r>
          </w:p>
          <w:p w14:paraId="4EF8EE5B" w14:textId="77777777" w:rsidR="00533E5B" w:rsidRDefault="00533E5B" w:rsidP="00B03C88">
            <w:pPr>
              <w:pStyle w:val="Bullet"/>
              <w:numPr>
                <w:ilvl w:val="0"/>
                <w:numId w:val="0"/>
              </w:numPr>
              <w:ind w:left="357" w:hanging="357"/>
            </w:pPr>
          </w:p>
          <w:p w14:paraId="698E3685" w14:textId="627F433C" w:rsidR="00533E5B" w:rsidRPr="00274B2A" w:rsidRDefault="00533E5B" w:rsidP="00B03C88">
            <w:pPr>
              <w:rPr>
                <w:b/>
                <w:color w:val="702F8A"/>
              </w:rPr>
            </w:pPr>
            <w:r>
              <w:rPr>
                <w:b/>
                <w:color w:val="702F8A"/>
              </w:rPr>
              <w:t>3.</w:t>
            </w:r>
            <w:r w:rsidR="006313B1">
              <w:rPr>
                <w:b/>
                <w:color w:val="702F8A"/>
              </w:rPr>
              <w:t>3</w:t>
            </w:r>
            <w:r w:rsidRPr="00274B2A">
              <w:rPr>
                <w:b/>
                <w:color w:val="702F8A"/>
              </w:rPr>
              <w:t>.</w:t>
            </w:r>
            <w:r>
              <w:rPr>
                <w:b/>
                <w:color w:val="702F8A"/>
              </w:rPr>
              <w:t xml:space="preserve"> </w:t>
            </w:r>
            <w:r w:rsidRPr="00B03C88">
              <w:rPr>
                <w:b/>
                <w:color w:val="702F8A"/>
              </w:rPr>
              <w:t>M</w:t>
            </w:r>
            <w:r>
              <w:rPr>
                <w:b/>
                <w:color w:val="702F8A"/>
              </w:rPr>
              <w:t>anagement options for emergency</w:t>
            </w:r>
            <w:r w:rsidRPr="00B03C88">
              <w:rPr>
                <w:b/>
                <w:color w:val="702F8A"/>
              </w:rPr>
              <w:t>/adverse events</w:t>
            </w:r>
          </w:p>
          <w:p w14:paraId="0FCE7A50" w14:textId="05DE91E0" w:rsidR="00533E5B" w:rsidRDefault="00533E5B" w:rsidP="00B03C88">
            <w:pPr>
              <w:pStyle w:val="Bullet"/>
            </w:pPr>
            <w:r w:rsidRPr="00B03C88">
              <w:t xml:space="preserve">The importance of adhering to the emergency plan in the event of an adverse reaction. </w:t>
            </w:r>
            <w:r w:rsidR="009B12DF">
              <w:t>U</w:t>
            </w:r>
            <w:r w:rsidRPr="00B03C88">
              <w:t>sing</w:t>
            </w:r>
            <w:r>
              <w:t xml:space="preserve"> evidence-based protocols</w:t>
            </w:r>
            <w:r w:rsidRPr="00B03C88">
              <w:t xml:space="preserve">. Procedures for ‘cooldown’ period, follow-up appointments and onward referral  </w:t>
            </w:r>
          </w:p>
          <w:p w14:paraId="4CFE4C6F" w14:textId="77777777" w:rsidR="00533E5B" w:rsidRDefault="00533E5B" w:rsidP="00B03C88">
            <w:pPr>
              <w:pStyle w:val="Bullet"/>
              <w:numPr>
                <w:ilvl w:val="0"/>
                <w:numId w:val="0"/>
              </w:numPr>
              <w:ind w:left="357" w:hanging="357"/>
            </w:pPr>
          </w:p>
          <w:p w14:paraId="2F83FD63" w14:textId="468EE8B6" w:rsidR="00533E5B" w:rsidRPr="00274B2A" w:rsidRDefault="00533E5B" w:rsidP="00B03C88">
            <w:pPr>
              <w:rPr>
                <w:b/>
                <w:color w:val="702F8A"/>
              </w:rPr>
            </w:pPr>
            <w:r>
              <w:rPr>
                <w:b/>
                <w:color w:val="702F8A"/>
              </w:rPr>
              <w:t>3.</w:t>
            </w:r>
            <w:r w:rsidR="006313B1">
              <w:rPr>
                <w:b/>
                <w:color w:val="702F8A"/>
              </w:rPr>
              <w:t>4</w:t>
            </w:r>
            <w:r w:rsidRPr="00274B2A">
              <w:rPr>
                <w:b/>
                <w:color w:val="702F8A"/>
              </w:rPr>
              <w:t>.</w:t>
            </w:r>
            <w:r>
              <w:rPr>
                <w:b/>
                <w:color w:val="702F8A"/>
              </w:rPr>
              <w:t xml:space="preserve"> </w:t>
            </w:r>
            <w:r w:rsidRPr="00B03C88">
              <w:rPr>
                <w:b/>
                <w:color w:val="702F8A"/>
              </w:rPr>
              <w:t>Solutions to address a range of suboptimal therapeutic outcomes using knowledge of facial muscle interactions</w:t>
            </w:r>
          </w:p>
          <w:p w14:paraId="018BF8ED" w14:textId="07C59411" w:rsidR="00533E5B" w:rsidRDefault="005A6ACE" w:rsidP="00B03C88">
            <w:pPr>
              <w:pStyle w:val="Bullet"/>
            </w:pPr>
            <w:r>
              <w:t xml:space="preserve">For example, </w:t>
            </w:r>
            <w:r w:rsidR="00533E5B">
              <w:t>with consideration of the primary muscles within the glabellar complex; patient communication and consultation, alternative brand/drug administration, follow-up appointments and top-up dosages</w:t>
            </w:r>
          </w:p>
          <w:p w14:paraId="759C8E3C" w14:textId="73DA2D9C" w:rsidR="00533E5B" w:rsidRDefault="00533E5B" w:rsidP="00B03C88">
            <w:pPr>
              <w:pStyle w:val="Bullet"/>
            </w:pPr>
            <w:r>
              <w:t>The role of patient occupation upon adverse effect ori</w:t>
            </w:r>
            <w:r w:rsidR="005A6ACE">
              <w:t>entated management options: for example,</w:t>
            </w:r>
            <w:r>
              <w:t xml:space="preserve"> aftercare and continuity of care implications for</w:t>
            </w:r>
            <w:r w:rsidR="00ED0287">
              <w:t xml:space="preserve"> internally facing </w:t>
            </w:r>
            <w:r>
              <w:t>and externally facing roles</w:t>
            </w:r>
            <w:r w:rsidRPr="00B03C88">
              <w:t xml:space="preserve">  </w:t>
            </w:r>
          </w:p>
          <w:p w14:paraId="36A09937" w14:textId="77777777" w:rsidR="00533E5B" w:rsidRDefault="00533E5B" w:rsidP="00B03C88">
            <w:pPr>
              <w:pStyle w:val="Bullet"/>
              <w:numPr>
                <w:ilvl w:val="0"/>
                <w:numId w:val="0"/>
              </w:numPr>
              <w:ind w:left="357" w:hanging="357"/>
            </w:pPr>
          </w:p>
          <w:p w14:paraId="77076A11" w14:textId="738259A4" w:rsidR="00533E5B" w:rsidRPr="00274B2A" w:rsidRDefault="00533E5B" w:rsidP="00B03C88">
            <w:pPr>
              <w:rPr>
                <w:b/>
                <w:color w:val="702F8A"/>
              </w:rPr>
            </w:pPr>
            <w:r>
              <w:rPr>
                <w:b/>
                <w:color w:val="702F8A"/>
              </w:rPr>
              <w:t>3.</w:t>
            </w:r>
            <w:r w:rsidR="006313B1">
              <w:rPr>
                <w:b/>
                <w:color w:val="702F8A"/>
              </w:rPr>
              <w:t>5</w:t>
            </w:r>
            <w:r w:rsidRPr="00274B2A">
              <w:rPr>
                <w:b/>
                <w:color w:val="702F8A"/>
              </w:rPr>
              <w:t>.</w:t>
            </w:r>
            <w:r>
              <w:rPr>
                <w:b/>
                <w:color w:val="702F8A"/>
              </w:rPr>
              <w:t xml:space="preserve"> </w:t>
            </w:r>
            <w:r w:rsidRPr="00B03C88">
              <w:rPr>
                <w:b/>
                <w:color w:val="702F8A"/>
              </w:rPr>
              <w:t>Threshold for onward referral</w:t>
            </w:r>
          </w:p>
          <w:p w14:paraId="13C0B28E" w14:textId="3CC1E716" w:rsidR="00533E5B" w:rsidRDefault="005A6ACE" w:rsidP="00462545">
            <w:pPr>
              <w:pStyle w:val="Bullet"/>
            </w:pPr>
            <w:r>
              <w:t xml:space="preserve">For example, </w:t>
            </w:r>
            <w:r w:rsidR="00533E5B">
              <w:t>outside scope of practice, debridement and wound healing</w:t>
            </w:r>
          </w:p>
          <w:p w14:paraId="366E2DB8" w14:textId="78349C76" w:rsidR="00533E5B" w:rsidRDefault="00ED0287" w:rsidP="00B03C88">
            <w:pPr>
              <w:pStyle w:val="Bullet"/>
            </w:pPr>
            <w:r>
              <w:t>Understanding of e</w:t>
            </w:r>
            <w:r w:rsidR="00533E5B">
              <w:t>mergency expert consensus guidance</w:t>
            </w:r>
          </w:p>
        </w:tc>
      </w:tr>
    </w:tbl>
    <w:p w14:paraId="5F225101" w14:textId="6BA119B6" w:rsidR="00B03C88" w:rsidRDefault="005A6ACE" w:rsidP="00B03C88">
      <w:r>
        <w:br/>
      </w:r>
      <w:r>
        <w:br/>
      </w:r>
      <w:r>
        <w:br/>
      </w:r>
      <w:r>
        <w:br/>
      </w:r>
      <w:r>
        <w:br/>
      </w:r>
      <w:r>
        <w:br/>
      </w:r>
      <w:r>
        <w:br/>
      </w:r>
    </w:p>
    <w:p w14:paraId="1E645002" w14:textId="31FFF955" w:rsidR="00063CAC" w:rsidRDefault="00063CAC" w:rsidP="00B03C88"/>
    <w:p w14:paraId="440D105D" w14:textId="792A8D6A" w:rsidR="00063CAC" w:rsidRDefault="00063CAC" w:rsidP="00B03C88"/>
    <w:p w14:paraId="70801304" w14:textId="1CC5984C" w:rsidR="00063CAC" w:rsidRDefault="00063CAC" w:rsidP="00B03C88"/>
    <w:p w14:paraId="63705381" w14:textId="3C60C412" w:rsidR="00063CAC" w:rsidRDefault="00063CAC" w:rsidP="00B03C88"/>
    <w:p w14:paraId="674EAAB9" w14:textId="360F9674" w:rsidR="00063CAC" w:rsidRDefault="00063CAC" w:rsidP="00B03C88"/>
    <w:p w14:paraId="0F0BA933" w14:textId="77777777" w:rsidR="00063CAC" w:rsidRDefault="00063CAC" w:rsidP="00B03C88"/>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533E5B" w:rsidRPr="007F0350" w14:paraId="019019F8" w14:textId="77777777" w:rsidTr="00533E5B">
        <w:tc>
          <w:tcPr>
            <w:tcW w:w="5000" w:type="pct"/>
            <w:shd w:val="clear" w:color="auto" w:fill="EFDFF5"/>
            <w:tcMar>
              <w:top w:w="57" w:type="dxa"/>
              <w:bottom w:w="57" w:type="dxa"/>
            </w:tcMar>
            <w:vAlign w:val="center"/>
          </w:tcPr>
          <w:p w14:paraId="77CFFFAA" w14:textId="1AD45230" w:rsidR="00533E5B" w:rsidRPr="009E5A05" w:rsidRDefault="00533E5B" w:rsidP="00AB3C8A">
            <w:pPr>
              <w:pStyle w:val="Boldstatement"/>
            </w:pPr>
            <w:r w:rsidRPr="003B0CB6">
              <w:lastRenderedPageBreak/>
              <w:t>Professional skill</w:t>
            </w:r>
          </w:p>
        </w:tc>
      </w:tr>
      <w:tr w:rsidR="00B03C88" w:rsidRPr="00003257" w14:paraId="23E93C45" w14:textId="77777777" w:rsidTr="00AB3C8A">
        <w:tc>
          <w:tcPr>
            <w:tcW w:w="5000" w:type="pct"/>
            <w:shd w:val="clear" w:color="auto" w:fill="E7E6E6"/>
            <w:tcMar>
              <w:top w:w="57" w:type="dxa"/>
              <w:bottom w:w="57" w:type="dxa"/>
            </w:tcMar>
          </w:tcPr>
          <w:p w14:paraId="1040E04A" w14:textId="75CB02F7" w:rsidR="00B03C88" w:rsidRPr="0087609D" w:rsidRDefault="00533E5B" w:rsidP="00AB3C8A">
            <w:pPr>
              <w:tabs>
                <w:tab w:val="left" w:pos="1926"/>
              </w:tabs>
              <w:spacing w:before="20" w:after="20"/>
            </w:pPr>
            <w:r>
              <w:rPr>
                <w:color w:val="262626" w:themeColor="text1" w:themeTint="D9"/>
              </w:rPr>
              <w:t>Taught content to include</w:t>
            </w:r>
            <w:r w:rsidR="005A6ACE">
              <w:rPr>
                <w:color w:val="262626" w:themeColor="text1" w:themeTint="D9"/>
              </w:rPr>
              <w:t>:</w:t>
            </w:r>
          </w:p>
        </w:tc>
      </w:tr>
      <w:tr w:rsidR="00533E5B" w14:paraId="01D94630" w14:textId="77777777" w:rsidTr="00533E5B">
        <w:tc>
          <w:tcPr>
            <w:tcW w:w="5000" w:type="pct"/>
            <w:tcMar>
              <w:top w:w="57" w:type="dxa"/>
              <w:bottom w:w="57" w:type="dxa"/>
            </w:tcMar>
          </w:tcPr>
          <w:p w14:paraId="45B9E9B0" w14:textId="6AB5EC60" w:rsidR="00533E5B" w:rsidRPr="00274B2A" w:rsidRDefault="00533E5B" w:rsidP="00AB3C8A">
            <w:pPr>
              <w:rPr>
                <w:b/>
                <w:color w:val="702F8A"/>
              </w:rPr>
            </w:pPr>
            <w:r>
              <w:rPr>
                <w:b/>
                <w:color w:val="702F8A"/>
              </w:rPr>
              <w:t>3.</w:t>
            </w:r>
            <w:r w:rsidR="006313B1">
              <w:rPr>
                <w:b/>
                <w:color w:val="702F8A"/>
              </w:rPr>
              <w:t>6</w:t>
            </w:r>
            <w:r w:rsidRPr="00274B2A">
              <w:rPr>
                <w:b/>
                <w:color w:val="702F8A"/>
              </w:rPr>
              <w:t>.</w:t>
            </w:r>
            <w:r>
              <w:rPr>
                <w:b/>
                <w:color w:val="702F8A"/>
              </w:rPr>
              <w:t xml:space="preserve"> </w:t>
            </w:r>
            <w:r w:rsidRPr="00B03C88">
              <w:rPr>
                <w:b/>
                <w:color w:val="702F8A"/>
              </w:rPr>
              <w:t>Storing of medicines</w:t>
            </w:r>
          </w:p>
          <w:p w14:paraId="6BB8DC08" w14:textId="1D877BE8" w:rsidR="00533E5B" w:rsidRDefault="00533E5B" w:rsidP="00B03C88">
            <w:pPr>
              <w:pStyle w:val="Bullet"/>
            </w:pPr>
            <w:r>
              <w:t>Cold link chain and storage for specific brands of botulinum toxin</w:t>
            </w:r>
          </w:p>
          <w:p w14:paraId="2DDE14B2" w14:textId="77777777" w:rsidR="00533E5B" w:rsidRDefault="00533E5B" w:rsidP="00B03C88">
            <w:pPr>
              <w:pStyle w:val="Bullet"/>
            </w:pPr>
            <w:r>
              <w:t xml:space="preserve">Where medicines are held as stock they must be: </w:t>
            </w:r>
          </w:p>
          <w:p w14:paraId="3BCCB8D2" w14:textId="47D390C7" w:rsidR="00533E5B" w:rsidRDefault="00533E5B" w:rsidP="00B03C88">
            <w:pPr>
              <w:pStyle w:val="Bullet2"/>
            </w:pPr>
            <w:r>
              <w:t xml:space="preserve">Procured through recognised wholesalers, i.e. registered UK pharmacy </w:t>
            </w:r>
          </w:p>
          <w:p w14:paraId="37DB270F" w14:textId="20DD2586" w:rsidR="00533E5B" w:rsidRDefault="00533E5B" w:rsidP="00B03C88">
            <w:pPr>
              <w:pStyle w:val="Bullet2"/>
            </w:pPr>
            <w:r>
              <w:t>Administered against a valid prescription date, full prescriber details, full patient details, full drug details, and signature. Issued in line with PSRB recognised standards for prescri</w:t>
            </w:r>
            <w:r w:rsidR="00ED0287">
              <w:t>bing in cosmetic medicine</w:t>
            </w:r>
          </w:p>
          <w:p w14:paraId="6D762AF6" w14:textId="50801C9A" w:rsidR="00533E5B" w:rsidRDefault="00533E5B" w:rsidP="00B03C88">
            <w:pPr>
              <w:pStyle w:val="Bullet2"/>
            </w:pPr>
            <w:r>
              <w:t>Stored securely and in the correct environment as recommended by the manufacturer (temperature monitoring and cold chai</w:t>
            </w:r>
            <w:r w:rsidR="00E20F5D">
              <w:t>n, standards and guidelines for example,</w:t>
            </w:r>
            <w:r>
              <w:t xml:space="preserve"> CPSA)</w:t>
            </w:r>
          </w:p>
          <w:p w14:paraId="695B0844" w14:textId="62761BE2" w:rsidR="00533E5B" w:rsidRDefault="00533E5B" w:rsidP="00B03C88">
            <w:pPr>
              <w:pStyle w:val="Bullet2"/>
            </w:pPr>
            <w:r>
              <w:t xml:space="preserve">Audited at regular intervals </w:t>
            </w:r>
          </w:p>
          <w:p w14:paraId="6458FDEE" w14:textId="47C64A5D" w:rsidR="00533E5B" w:rsidRDefault="00533E5B" w:rsidP="00B03C88">
            <w:pPr>
              <w:pStyle w:val="Bullet2"/>
            </w:pPr>
            <w:r>
              <w:t>Recorded appropriately when administered</w:t>
            </w:r>
          </w:p>
          <w:p w14:paraId="7BFF5B36" w14:textId="77288B47" w:rsidR="00533E5B" w:rsidRDefault="00533E5B" w:rsidP="00B03C88">
            <w:pPr>
              <w:pStyle w:val="Bullet2"/>
            </w:pPr>
            <w:r>
              <w:t>Where a patient</w:t>
            </w:r>
            <w:r w:rsidR="00ED0287">
              <w:t>’</w:t>
            </w:r>
            <w:r>
              <w:t>s medicines are held this must be agreed by the patient and administered to the named patient only</w:t>
            </w:r>
          </w:p>
          <w:p w14:paraId="7F146D94" w14:textId="77777777" w:rsidR="00533E5B" w:rsidRDefault="00533E5B" w:rsidP="00B03C88">
            <w:pPr>
              <w:pStyle w:val="Bullet"/>
              <w:numPr>
                <w:ilvl w:val="0"/>
                <w:numId w:val="0"/>
              </w:numPr>
              <w:ind w:left="357" w:hanging="357"/>
            </w:pPr>
          </w:p>
          <w:p w14:paraId="79EB1716" w14:textId="2B190E6E" w:rsidR="00533E5B" w:rsidRPr="00274B2A" w:rsidRDefault="00533E5B" w:rsidP="00B03C88">
            <w:pPr>
              <w:rPr>
                <w:b/>
                <w:color w:val="702F8A"/>
              </w:rPr>
            </w:pPr>
            <w:r>
              <w:rPr>
                <w:b/>
                <w:color w:val="702F8A"/>
              </w:rPr>
              <w:t>3.</w:t>
            </w:r>
            <w:r w:rsidR="00FD223A">
              <w:rPr>
                <w:b/>
                <w:color w:val="702F8A"/>
              </w:rPr>
              <w:t>7</w:t>
            </w:r>
            <w:r w:rsidRPr="00274B2A">
              <w:rPr>
                <w:b/>
                <w:color w:val="702F8A"/>
              </w:rPr>
              <w:t>.</w:t>
            </w:r>
            <w:r>
              <w:rPr>
                <w:b/>
                <w:color w:val="702F8A"/>
              </w:rPr>
              <w:t xml:space="preserve"> Emergency m</w:t>
            </w:r>
            <w:r w:rsidRPr="00B03C88">
              <w:rPr>
                <w:b/>
                <w:color w:val="702F8A"/>
              </w:rPr>
              <w:t>edicines</w:t>
            </w:r>
          </w:p>
          <w:p w14:paraId="203E87AB" w14:textId="7333DCDB" w:rsidR="00533E5B" w:rsidRDefault="00533E5B" w:rsidP="00B03C88">
            <w:pPr>
              <w:pStyle w:val="Bullet"/>
            </w:pPr>
            <w:r>
              <w:t>Those medicines listed in Schedule 19 of the Human Medicines Regulations may be administered without a prescription for the purpose of saving life in an emergency</w:t>
            </w:r>
          </w:p>
          <w:p w14:paraId="4DC0FBF2" w14:textId="499138A4" w:rsidR="00533E5B" w:rsidRDefault="00533E5B" w:rsidP="00B03C88">
            <w:pPr>
              <w:pStyle w:val="Bullet"/>
            </w:pPr>
            <w:r>
              <w:t>Medicines stocked for the purpose of emergency use must be risk assessed. The practitioner must be competent to administer the medicines</w:t>
            </w:r>
          </w:p>
          <w:p w14:paraId="60D9ACD6" w14:textId="361DD156" w:rsidR="00533E5B" w:rsidRDefault="00533E5B" w:rsidP="00C81DFA">
            <w:pPr>
              <w:pStyle w:val="Bullet"/>
              <w:numPr>
                <w:ilvl w:val="0"/>
                <w:numId w:val="0"/>
              </w:numPr>
            </w:pPr>
          </w:p>
          <w:p w14:paraId="3DDE3501" w14:textId="7B4B5DA3" w:rsidR="00533E5B" w:rsidRPr="00274B2A" w:rsidRDefault="00533E5B" w:rsidP="00C81DFA">
            <w:pPr>
              <w:rPr>
                <w:b/>
                <w:color w:val="702F8A"/>
              </w:rPr>
            </w:pPr>
            <w:r>
              <w:rPr>
                <w:b/>
                <w:color w:val="702F8A"/>
              </w:rPr>
              <w:t>3.</w:t>
            </w:r>
            <w:r w:rsidR="00FD223A">
              <w:rPr>
                <w:b/>
                <w:color w:val="702F8A"/>
              </w:rPr>
              <w:t>8</w:t>
            </w:r>
            <w:r w:rsidRPr="00274B2A">
              <w:rPr>
                <w:b/>
                <w:color w:val="702F8A"/>
              </w:rPr>
              <w:t>.</w:t>
            </w:r>
            <w:r>
              <w:rPr>
                <w:b/>
                <w:color w:val="702F8A"/>
              </w:rPr>
              <w:t xml:space="preserve"> Controlled d</w:t>
            </w:r>
            <w:r w:rsidRPr="00C81DFA">
              <w:rPr>
                <w:b/>
                <w:color w:val="702F8A"/>
              </w:rPr>
              <w:t>rugs (CDs)</w:t>
            </w:r>
          </w:p>
          <w:p w14:paraId="599CBC5C" w14:textId="6B92D584" w:rsidR="00533E5B" w:rsidRDefault="00533E5B" w:rsidP="00C81DFA">
            <w:pPr>
              <w:pStyle w:val="Bullet"/>
            </w:pPr>
            <w:r>
              <w:t>The Misuse of Drugs Regulations 2001 place additional controls on medicines that could be misused</w:t>
            </w:r>
          </w:p>
          <w:p w14:paraId="6CF2F94D" w14:textId="77777777" w:rsidR="00533E5B" w:rsidRDefault="00533E5B" w:rsidP="00C81DFA">
            <w:pPr>
              <w:pStyle w:val="Bullet"/>
            </w:pPr>
            <w:r>
              <w:t xml:space="preserve">Controlled drugs may be subject to: </w:t>
            </w:r>
          </w:p>
          <w:p w14:paraId="4052DDAF" w14:textId="0E94511A" w:rsidR="00533E5B" w:rsidRDefault="00533E5B" w:rsidP="00C81DFA">
            <w:pPr>
              <w:pStyle w:val="Bullet2"/>
            </w:pPr>
            <w:r>
              <w:t xml:space="preserve">Additional prescription writing requirements </w:t>
            </w:r>
          </w:p>
          <w:p w14:paraId="460F4CD4" w14:textId="00B173EF" w:rsidR="00533E5B" w:rsidRDefault="00533E5B" w:rsidP="00C81DFA">
            <w:pPr>
              <w:pStyle w:val="Bullet2"/>
            </w:pPr>
            <w:r>
              <w:t xml:space="preserve">Additional storage requirements </w:t>
            </w:r>
          </w:p>
          <w:p w14:paraId="54033B14" w14:textId="07946314" w:rsidR="00533E5B" w:rsidRDefault="00533E5B" w:rsidP="00C81DFA">
            <w:pPr>
              <w:pStyle w:val="Bullet2"/>
            </w:pPr>
            <w:r>
              <w:t xml:space="preserve">Additional record keeping requirements </w:t>
            </w:r>
          </w:p>
          <w:p w14:paraId="1AFE54D8" w14:textId="40DA0AD9" w:rsidR="00533E5B" w:rsidRDefault="00ED0287" w:rsidP="00C81DFA">
            <w:pPr>
              <w:pStyle w:val="Bullet2"/>
            </w:pPr>
            <w:r>
              <w:t>Home Office licenc</w:t>
            </w:r>
            <w:r w:rsidR="00533E5B">
              <w:t xml:space="preserve">e requirements </w:t>
            </w:r>
          </w:p>
          <w:p w14:paraId="509E6A7C" w14:textId="77777777" w:rsidR="00533E5B" w:rsidRDefault="00533E5B" w:rsidP="00C81DFA">
            <w:pPr>
              <w:pStyle w:val="Bullet"/>
            </w:pPr>
            <w:r>
              <w:t xml:space="preserve">Directions for use in accordance with the manufacturer’s guidance. Over the counter doses must not be exceeded unless there is a prescription. Patients must not be asked to:  </w:t>
            </w:r>
          </w:p>
          <w:p w14:paraId="6867FE98" w14:textId="13545F33" w:rsidR="00533E5B" w:rsidRDefault="00ED0287" w:rsidP="00C81DFA">
            <w:pPr>
              <w:pStyle w:val="Bullet2"/>
            </w:pPr>
            <w:r>
              <w:t>Stock</w:t>
            </w:r>
            <w:r w:rsidR="00533E5B">
              <w:t xml:space="preserve">pile medicines </w:t>
            </w:r>
          </w:p>
          <w:p w14:paraId="45A4A030" w14:textId="76E4CD02" w:rsidR="00533E5B" w:rsidRDefault="00533E5B" w:rsidP="00C81DFA">
            <w:pPr>
              <w:pStyle w:val="Bullet2"/>
            </w:pPr>
            <w:r>
              <w:t>Exceed recommended doses and/or recommended surface area coverage</w:t>
            </w:r>
          </w:p>
        </w:tc>
      </w:tr>
    </w:tbl>
    <w:p w14:paraId="38400A30" w14:textId="77777777" w:rsidR="00B03C88" w:rsidRDefault="00B03C88" w:rsidP="00B03C88"/>
    <w:p w14:paraId="5A2046EE" w14:textId="77777777" w:rsidR="00B03C88" w:rsidRPr="00B03C88" w:rsidRDefault="00B03C88" w:rsidP="00B03C88"/>
    <w:p w14:paraId="4EA57E6A" w14:textId="77777777" w:rsidR="00C35465" w:rsidRDefault="00C35465" w:rsidP="00C35465">
      <w:pPr>
        <w:pStyle w:val="Bullet2"/>
        <w:numPr>
          <w:ilvl w:val="0"/>
          <w:numId w:val="0"/>
        </w:numPr>
        <w:rPr>
          <w:highlight w:val="yellow"/>
        </w:rPr>
      </w:pPr>
    </w:p>
    <w:p w14:paraId="3DEF79E1" w14:textId="77777777" w:rsidR="00C35465" w:rsidRDefault="00C35465">
      <w:pPr>
        <w:spacing w:line="259" w:lineRule="auto"/>
        <w:rPr>
          <w:highlight w:val="yellow"/>
        </w:rPr>
      </w:pPr>
      <w:r>
        <w:rPr>
          <w:highlight w:val="yellow"/>
        </w:rPr>
        <w:br w:type="page"/>
      </w:r>
    </w:p>
    <w:p w14:paraId="1F077F14" w14:textId="1796969A" w:rsidR="00C35465" w:rsidRDefault="00C35465" w:rsidP="00C35465">
      <w:pPr>
        <w:pStyle w:val="Heading2"/>
      </w:pPr>
      <w:r w:rsidRPr="00B74EED">
        <w:rPr>
          <w:szCs w:val="28"/>
        </w:rPr>
        <w:lastRenderedPageBreak/>
        <w:t>LO</w:t>
      </w:r>
      <w:r w:rsidR="00874161">
        <w:rPr>
          <w:szCs w:val="28"/>
        </w:rPr>
        <w:t>4</w:t>
      </w:r>
      <w:r>
        <w:rPr>
          <w:szCs w:val="28"/>
        </w:rPr>
        <w:t xml:space="preserve"> </w:t>
      </w:r>
      <w:r w:rsidR="00946D70">
        <w:rPr>
          <w:szCs w:val="28"/>
        </w:rPr>
        <w:t>F</w:t>
      </w:r>
      <w:r w:rsidR="00820BEA">
        <w:t xml:space="preserve">ormulate individualised </w:t>
      </w:r>
      <w:r w:rsidR="000A5C94">
        <w:t xml:space="preserve">procedure </w:t>
      </w:r>
      <w:r w:rsidR="00820BEA">
        <w:t xml:space="preserve">plans for the use </w:t>
      </w:r>
      <w:r w:rsidR="00946D70">
        <w:t xml:space="preserve">of </w:t>
      </w:r>
      <w:r w:rsidR="00820BEA">
        <w:t>botulinum toxin</w:t>
      </w: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533E5B" w:rsidRPr="007F0350" w14:paraId="6C4BFCA4" w14:textId="77777777" w:rsidTr="00533E5B">
        <w:tc>
          <w:tcPr>
            <w:tcW w:w="5000" w:type="pct"/>
            <w:shd w:val="clear" w:color="auto" w:fill="EFDFF5"/>
            <w:tcMar>
              <w:top w:w="57" w:type="dxa"/>
              <w:bottom w:w="57" w:type="dxa"/>
            </w:tcMar>
            <w:vAlign w:val="center"/>
          </w:tcPr>
          <w:p w14:paraId="4AEFCB03" w14:textId="2D3F49BD" w:rsidR="00533E5B" w:rsidRPr="009E5A05" w:rsidRDefault="00533E5B" w:rsidP="00AB3C8A">
            <w:pPr>
              <w:pStyle w:val="Boldstatement"/>
            </w:pPr>
            <w:r w:rsidRPr="00B03C88">
              <w:t>Professional knowledge</w:t>
            </w:r>
          </w:p>
        </w:tc>
      </w:tr>
      <w:tr w:rsidR="00C81DFA" w:rsidRPr="00003257" w14:paraId="2ECE3F32" w14:textId="77777777" w:rsidTr="00AB3C8A">
        <w:tc>
          <w:tcPr>
            <w:tcW w:w="5000" w:type="pct"/>
            <w:shd w:val="clear" w:color="auto" w:fill="E7E6E6"/>
            <w:tcMar>
              <w:top w:w="57" w:type="dxa"/>
              <w:bottom w:w="57" w:type="dxa"/>
            </w:tcMar>
          </w:tcPr>
          <w:p w14:paraId="3A281584" w14:textId="5DD60D92" w:rsidR="00C81DFA" w:rsidRPr="0087609D" w:rsidRDefault="00533E5B" w:rsidP="00AB3C8A">
            <w:pPr>
              <w:tabs>
                <w:tab w:val="left" w:pos="1926"/>
              </w:tabs>
              <w:spacing w:before="20" w:after="20"/>
            </w:pPr>
            <w:r>
              <w:rPr>
                <w:color w:val="262626" w:themeColor="text1" w:themeTint="D9"/>
              </w:rPr>
              <w:t>Taught content to include</w:t>
            </w:r>
            <w:r w:rsidR="00E20F5D">
              <w:rPr>
                <w:color w:val="262626" w:themeColor="text1" w:themeTint="D9"/>
              </w:rPr>
              <w:t>:</w:t>
            </w:r>
          </w:p>
        </w:tc>
      </w:tr>
      <w:tr w:rsidR="00533E5B" w14:paraId="577CF8DF" w14:textId="77777777" w:rsidTr="00533E5B">
        <w:tc>
          <w:tcPr>
            <w:tcW w:w="5000" w:type="pct"/>
            <w:tcMar>
              <w:top w:w="57" w:type="dxa"/>
              <w:bottom w:w="57" w:type="dxa"/>
            </w:tcMar>
          </w:tcPr>
          <w:p w14:paraId="395B3DA0" w14:textId="332D6754" w:rsidR="00533E5B" w:rsidRPr="00274B2A" w:rsidRDefault="00533E5B" w:rsidP="00AB3C8A">
            <w:pPr>
              <w:rPr>
                <w:b/>
                <w:color w:val="702F8A"/>
              </w:rPr>
            </w:pPr>
            <w:r>
              <w:rPr>
                <w:b/>
                <w:color w:val="702F8A"/>
              </w:rPr>
              <w:t>4</w:t>
            </w:r>
            <w:r w:rsidRPr="00274B2A">
              <w:rPr>
                <w:b/>
                <w:color w:val="702F8A"/>
              </w:rPr>
              <w:t>.1.</w:t>
            </w:r>
            <w:r>
              <w:rPr>
                <w:b/>
                <w:color w:val="702F8A"/>
              </w:rPr>
              <w:t xml:space="preserve"> </w:t>
            </w:r>
            <w:r w:rsidRPr="00C81DFA">
              <w:rPr>
                <w:b/>
                <w:color w:val="702F8A"/>
              </w:rPr>
              <w:t>Individualised procedure plans</w:t>
            </w:r>
          </w:p>
          <w:p w14:paraId="7C580281" w14:textId="1A4E22F2" w:rsidR="00533E5B" w:rsidRDefault="00533E5B" w:rsidP="00C81DFA">
            <w:pPr>
              <w:pStyle w:val="Bullet"/>
            </w:pPr>
            <w:r w:rsidRPr="00C81DFA">
              <w:t>Application and documentation of clinical knowledge to formulate medically sound clinical judgements based on outcomes of consultation alongside assessment of facial shape, skin and symmetry of feature to distinguish between dynamic and static rhytids. Understanding</w:t>
            </w:r>
            <w:r w:rsidR="00ED0287">
              <w:t xml:space="preserve"> basic and advanced application</w:t>
            </w:r>
            <w:r w:rsidRPr="00C81DFA">
              <w:t xml:space="preserve"> techniques and working within </w:t>
            </w:r>
            <w:r w:rsidR="00326868">
              <w:t xml:space="preserve">the </w:t>
            </w:r>
            <w:r w:rsidRPr="00C81DFA">
              <w:t>scope of training, to formulate an individualised procedure plan. Understand the need for objectivity and discretion to avoid enhancing the patients natural insecurities</w:t>
            </w:r>
          </w:p>
          <w:p w14:paraId="576517D5" w14:textId="77777777" w:rsidR="00533E5B" w:rsidRDefault="00533E5B" w:rsidP="00AB3C8A">
            <w:pPr>
              <w:pStyle w:val="Bullet"/>
              <w:numPr>
                <w:ilvl w:val="0"/>
                <w:numId w:val="0"/>
              </w:numPr>
              <w:ind w:left="357" w:hanging="357"/>
            </w:pPr>
          </w:p>
          <w:p w14:paraId="5C5021B7" w14:textId="0F35E629" w:rsidR="00533E5B" w:rsidRPr="00274B2A" w:rsidRDefault="00533E5B" w:rsidP="00AB3C8A">
            <w:pPr>
              <w:rPr>
                <w:b/>
                <w:color w:val="702F8A"/>
              </w:rPr>
            </w:pPr>
            <w:r>
              <w:rPr>
                <w:b/>
                <w:color w:val="702F8A"/>
              </w:rPr>
              <w:t>4.2</w:t>
            </w:r>
            <w:r w:rsidRPr="00274B2A">
              <w:rPr>
                <w:b/>
                <w:color w:val="702F8A"/>
              </w:rPr>
              <w:t>.</w:t>
            </w:r>
            <w:r>
              <w:rPr>
                <w:b/>
                <w:color w:val="702F8A"/>
              </w:rPr>
              <w:t xml:space="preserve"> </w:t>
            </w:r>
            <w:r w:rsidRPr="00C81DFA">
              <w:rPr>
                <w:b/>
                <w:color w:val="702F8A"/>
              </w:rPr>
              <w:t>Facial proportions</w:t>
            </w:r>
          </w:p>
          <w:p w14:paraId="092A536F" w14:textId="1DBBD965" w:rsidR="00533E5B" w:rsidRDefault="00E20F5D" w:rsidP="00C81DFA">
            <w:pPr>
              <w:pStyle w:val="Bullet"/>
            </w:pPr>
            <w:r>
              <w:t xml:space="preserve">For example, </w:t>
            </w:r>
            <w:r w:rsidR="00533E5B">
              <w:t>p</w:t>
            </w:r>
            <w:r w:rsidR="00533E5B" w:rsidRPr="00C81DFA">
              <w:t>atient goals/aims, whole face assessment, upper, middle and lower face proportion assessment; relating to skin changes, lip thinning, fat pad migration, muscle atrophy/hypertrophy and bone demineralisation</w:t>
            </w:r>
            <w:r w:rsidR="00533E5B" w:rsidRPr="00B03C88">
              <w:t xml:space="preserve">  </w:t>
            </w:r>
          </w:p>
          <w:p w14:paraId="37CF76A8" w14:textId="77777777" w:rsidR="00533E5B" w:rsidRDefault="00533E5B" w:rsidP="00AB3C8A">
            <w:pPr>
              <w:pStyle w:val="Bullet"/>
              <w:numPr>
                <w:ilvl w:val="0"/>
                <w:numId w:val="0"/>
              </w:numPr>
              <w:ind w:left="357" w:hanging="357"/>
            </w:pPr>
          </w:p>
          <w:p w14:paraId="1CF469AD" w14:textId="25EE838D" w:rsidR="00533E5B" w:rsidRPr="00274B2A" w:rsidRDefault="00533E5B" w:rsidP="00C81DFA">
            <w:pPr>
              <w:rPr>
                <w:b/>
                <w:color w:val="702F8A"/>
              </w:rPr>
            </w:pPr>
            <w:r>
              <w:rPr>
                <w:b/>
                <w:color w:val="702F8A"/>
              </w:rPr>
              <w:t>4.3</w:t>
            </w:r>
            <w:r w:rsidRPr="00274B2A">
              <w:rPr>
                <w:b/>
                <w:color w:val="702F8A"/>
              </w:rPr>
              <w:t>.</w:t>
            </w:r>
            <w:r>
              <w:rPr>
                <w:b/>
                <w:color w:val="702F8A"/>
              </w:rPr>
              <w:t xml:space="preserve"> </w:t>
            </w:r>
            <w:r w:rsidRPr="00C81DFA">
              <w:rPr>
                <w:b/>
                <w:color w:val="702F8A"/>
              </w:rPr>
              <w:t>Skin folds/</w:t>
            </w:r>
            <w:proofErr w:type="spellStart"/>
            <w:r w:rsidRPr="00C81DFA">
              <w:rPr>
                <w:b/>
                <w:color w:val="702F8A"/>
              </w:rPr>
              <w:t>rhytides</w:t>
            </w:r>
            <w:proofErr w:type="spellEnd"/>
          </w:p>
          <w:p w14:paraId="6786E551" w14:textId="202EB5CF" w:rsidR="00533E5B" w:rsidRDefault="00E20F5D" w:rsidP="00C81DFA">
            <w:pPr>
              <w:pStyle w:val="Bullet"/>
            </w:pPr>
            <w:r>
              <w:t>For example,</w:t>
            </w:r>
            <w:r w:rsidR="00533E5B" w:rsidRPr="00B03C88">
              <w:t xml:space="preserve"> </w:t>
            </w:r>
            <w:r w:rsidR="00533E5B">
              <w:t>p</w:t>
            </w:r>
            <w:r w:rsidR="00533E5B" w:rsidRPr="00C81DFA">
              <w:t>atient goals/aims, whole face skin fold assessment; relating to location, depth, length and intercepts. Consideration of impact; textural and perceptual. Assessing</w:t>
            </w:r>
            <w:r w:rsidR="00326868">
              <w:t>:</w:t>
            </w:r>
            <w:r w:rsidR="00533E5B" w:rsidRPr="00C81DFA">
              <w:t xml:space="preserve"> glabellar lines, crows</w:t>
            </w:r>
            <w:r w:rsidR="00326868">
              <w:t>’</w:t>
            </w:r>
            <w:r w:rsidR="00533E5B" w:rsidRPr="00C81DFA">
              <w:t xml:space="preserve"> feet, horizontal forehead lines, lower lid, upper lip, depressor angularis </w:t>
            </w:r>
            <w:proofErr w:type="spellStart"/>
            <w:r w:rsidR="00533E5B" w:rsidRPr="00C81DFA">
              <w:t>oris</w:t>
            </w:r>
            <w:proofErr w:type="spellEnd"/>
            <w:r w:rsidR="00533E5B" w:rsidRPr="00C81DFA">
              <w:t xml:space="preserve">, </w:t>
            </w:r>
            <w:proofErr w:type="spellStart"/>
            <w:r w:rsidR="00533E5B" w:rsidRPr="00C81DFA">
              <w:t>platysmal</w:t>
            </w:r>
            <w:proofErr w:type="spellEnd"/>
            <w:r w:rsidR="00533E5B" w:rsidRPr="00C81DFA">
              <w:t xml:space="preserve"> bands, nasalis/upper lip, nasal scrunch and flare, patient goals/aims</w:t>
            </w:r>
            <w:r w:rsidR="00533E5B" w:rsidRPr="00B03C88">
              <w:t xml:space="preserve">  </w:t>
            </w:r>
          </w:p>
          <w:p w14:paraId="1D46D66F" w14:textId="77777777" w:rsidR="00533E5B" w:rsidRDefault="00533E5B" w:rsidP="00C81DFA"/>
          <w:p w14:paraId="3EBA4FBC" w14:textId="7EDFBF59" w:rsidR="00533E5B" w:rsidRPr="00274B2A" w:rsidRDefault="00533E5B" w:rsidP="00C81DFA">
            <w:pPr>
              <w:rPr>
                <w:b/>
                <w:color w:val="702F8A"/>
              </w:rPr>
            </w:pPr>
            <w:r>
              <w:rPr>
                <w:b/>
                <w:color w:val="702F8A"/>
              </w:rPr>
              <w:t>4.4</w:t>
            </w:r>
            <w:r w:rsidRPr="00274B2A">
              <w:rPr>
                <w:b/>
                <w:color w:val="702F8A"/>
              </w:rPr>
              <w:t>.</w:t>
            </w:r>
            <w:r>
              <w:rPr>
                <w:b/>
                <w:color w:val="702F8A"/>
              </w:rPr>
              <w:t xml:space="preserve"> </w:t>
            </w:r>
            <w:r w:rsidRPr="00C81DFA">
              <w:rPr>
                <w:b/>
                <w:color w:val="702F8A"/>
              </w:rPr>
              <w:t>Assessment tools</w:t>
            </w:r>
          </w:p>
          <w:p w14:paraId="2CF16AB9" w14:textId="4497F919" w:rsidR="00F8560C" w:rsidRDefault="00F8560C" w:rsidP="00FD223A">
            <w:pPr>
              <w:pStyle w:val="Bullet"/>
              <w:numPr>
                <w:ilvl w:val="0"/>
                <w:numId w:val="0"/>
              </w:numPr>
              <w:ind w:left="357" w:hanging="357"/>
            </w:pPr>
            <w:r>
              <w:t xml:space="preserve">       </w:t>
            </w:r>
            <w:r w:rsidRPr="00DD3BE1">
              <w:t xml:space="preserve">Aesthetic scales or tools as appropriate, including but not limited to; Merz scales, </w:t>
            </w:r>
            <w:proofErr w:type="spellStart"/>
            <w:r w:rsidRPr="00DD3BE1">
              <w:t>Glogau</w:t>
            </w:r>
            <w:proofErr w:type="spellEnd"/>
            <w:r w:rsidRPr="00DD3BE1">
              <w:t xml:space="preserve"> rhytids assessment scale, Visual Analog Scale (VAS), Fitzpatrick skin typing, ethnic skin typing kinetic classification (kinetic, hyperkinetic and hypertonic)</w:t>
            </w:r>
          </w:p>
          <w:p w14:paraId="39624EFF" w14:textId="77777777" w:rsidR="00533E5B" w:rsidRDefault="00533E5B" w:rsidP="00C81DFA"/>
          <w:p w14:paraId="3B9EF565" w14:textId="33D61CFA" w:rsidR="00533E5B" w:rsidRPr="00274B2A" w:rsidRDefault="00533E5B" w:rsidP="00C81DFA">
            <w:pPr>
              <w:rPr>
                <w:b/>
                <w:color w:val="702F8A"/>
              </w:rPr>
            </w:pPr>
            <w:r>
              <w:rPr>
                <w:b/>
                <w:color w:val="702F8A"/>
              </w:rPr>
              <w:t>4.5</w:t>
            </w:r>
            <w:r w:rsidRPr="00274B2A">
              <w:rPr>
                <w:b/>
                <w:color w:val="702F8A"/>
              </w:rPr>
              <w:t>.</w:t>
            </w:r>
            <w:r>
              <w:rPr>
                <w:b/>
                <w:color w:val="702F8A"/>
              </w:rPr>
              <w:t xml:space="preserve"> </w:t>
            </w:r>
            <w:r w:rsidRPr="00C81DFA">
              <w:rPr>
                <w:b/>
                <w:color w:val="702F8A"/>
              </w:rPr>
              <w:t>Pre and post-pro</w:t>
            </w:r>
            <w:r>
              <w:rPr>
                <w:b/>
                <w:color w:val="702F8A"/>
              </w:rPr>
              <w:t xml:space="preserve">cedure </w:t>
            </w:r>
            <w:r w:rsidRPr="00C81DFA">
              <w:rPr>
                <w:b/>
                <w:color w:val="702F8A"/>
              </w:rPr>
              <w:t>patient photographs</w:t>
            </w:r>
          </w:p>
          <w:p w14:paraId="06705EC8" w14:textId="52726BB4" w:rsidR="00533E5B" w:rsidRDefault="00E20F5D" w:rsidP="00C81DFA">
            <w:pPr>
              <w:pStyle w:val="Bullet"/>
            </w:pPr>
            <w:r>
              <w:t>For example,</w:t>
            </w:r>
            <w:r w:rsidR="00326868">
              <w:t xml:space="preserve"> to:</w:t>
            </w:r>
            <w:r w:rsidR="00533E5B">
              <w:t xml:space="preserve"> evidence procedu</w:t>
            </w:r>
            <w:r>
              <w:t xml:space="preserve">re impact, evaluate procedure </w:t>
            </w:r>
            <w:r w:rsidR="00533E5B">
              <w:t>outcome, identify recovery expectations, demonstrate adherence to initi</w:t>
            </w:r>
            <w:r w:rsidR="00326868">
              <w:t>al patient aims/goals. Capture</w:t>
            </w:r>
            <w:r w:rsidR="00533E5B">
              <w:t xml:space="preserve"> as a minimum: lateral/anterior/posterior photograph angles. Include a range of patient facial expressions</w:t>
            </w:r>
            <w:r w:rsidR="00326868">
              <w:t>;</w:t>
            </w:r>
            <w:r w:rsidR="00533E5B">
              <w:t xml:space="preserve"> why consent for im</w:t>
            </w:r>
            <w:r>
              <w:t>agery to be taken must be given</w:t>
            </w:r>
          </w:p>
          <w:p w14:paraId="5C38F07E" w14:textId="6AE55C6A" w:rsidR="00533E5B" w:rsidRDefault="00326868" w:rsidP="00C81DFA">
            <w:pPr>
              <w:pStyle w:val="Bullet"/>
            </w:pPr>
            <w:r>
              <w:t>Legal r</w:t>
            </w:r>
            <w:r w:rsidR="00533E5B">
              <w:t xml:space="preserve">equirements under data protection and mandatory registration with The Information Commissioner's Office (ICO) if holding </w:t>
            </w:r>
            <w:r w:rsidR="00E20F5D">
              <w:t>any form of patient information</w:t>
            </w:r>
          </w:p>
          <w:p w14:paraId="7DA99603" w14:textId="77777777" w:rsidR="00533E5B" w:rsidRDefault="00533E5B" w:rsidP="00C81DFA"/>
          <w:p w14:paraId="30A077FB" w14:textId="3E9F4B27" w:rsidR="00533E5B" w:rsidRPr="00274B2A" w:rsidRDefault="00533E5B" w:rsidP="00C81DFA">
            <w:pPr>
              <w:rPr>
                <w:b/>
                <w:color w:val="702F8A"/>
              </w:rPr>
            </w:pPr>
            <w:r>
              <w:rPr>
                <w:b/>
                <w:color w:val="702F8A"/>
              </w:rPr>
              <w:t>4.</w:t>
            </w:r>
            <w:r w:rsidR="00CA18CF">
              <w:rPr>
                <w:b/>
                <w:color w:val="702F8A"/>
              </w:rPr>
              <w:t>6</w:t>
            </w:r>
            <w:r w:rsidRPr="00274B2A">
              <w:rPr>
                <w:b/>
                <w:color w:val="702F8A"/>
              </w:rPr>
              <w:t>.</w:t>
            </w:r>
            <w:r>
              <w:rPr>
                <w:b/>
                <w:color w:val="702F8A"/>
              </w:rPr>
              <w:t xml:space="preserve"> </w:t>
            </w:r>
            <w:r w:rsidRPr="00C81DFA">
              <w:rPr>
                <w:b/>
                <w:color w:val="702F8A"/>
              </w:rPr>
              <w:t>Setting a review date for outcomes of procedure</w:t>
            </w:r>
          </w:p>
          <w:p w14:paraId="4D55B462" w14:textId="239B403B" w:rsidR="00533E5B" w:rsidRDefault="00533E5B" w:rsidP="00C81DFA">
            <w:pPr>
              <w:pStyle w:val="Bullet"/>
            </w:pPr>
            <w:r w:rsidRPr="00C81DFA">
              <w:t>Reviewing efficacy and</w:t>
            </w:r>
            <w:r w:rsidR="00326868">
              <w:t xml:space="preserve"> outcome of procedure at follow-</w:t>
            </w:r>
            <w:r w:rsidRPr="00C81DFA">
              <w:t xml:space="preserve">up appointment and correct asymmetry where required, taking further images with patient consent ensuring that ‘review’ </w:t>
            </w:r>
            <w:r>
              <w:t xml:space="preserve">procedure </w:t>
            </w:r>
            <w:r w:rsidRPr="00C81DFA">
              <w:t>where required is administered within 4 weeks of original procedure</w:t>
            </w:r>
            <w:r w:rsidRPr="00B03C88">
              <w:t xml:space="preserve">  </w:t>
            </w:r>
          </w:p>
        </w:tc>
      </w:tr>
    </w:tbl>
    <w:p w14:paraId="071C4F51" w14:textId="4F01DDBA" w:rsidR="00C81DFA" w:rsidRDefault="00417BB9" w:rsidP="00C81DFA">
      <w:r>
        <w:br/>
      </w:r>
      <w:r>
        <w:br/>
      </w:r>
      <w:r>
        <w:br/>
      </w:r>
      <w:r>
        <w:br/>
      </w:r>
      <w:r>
        <w:br/>
      </w:r>
      <w:r>
        <w:br/>
      </w:r>
      <w:r>
        <w:br/>
      </w:r>
      <w:r>
        <w:br/>
      </w: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533E5B" w:rsidRPr="007F0350" w14:paraId="7283A795" w14:textId="77777777" w:rsidTr="00533E5B">
        <w:tc>
          <w:tcPr>
            <w:tcW w:w="5000" w:type="pct"/>
            <w:shd w:val="clear" w:color="auto" w:fill="EFDFF5"/>
            <w:tcMar>
              <w:top w:w="57" w:type="dxa"/>
              <w:bottom w:w="57" w:type="dxa"/>
            </w:tcMar>
            <w:vAlign w:val="center"/>
          </w:tcPr>
          <w:p w14:paraId="537960CE" w14:textId="0012F103" w:rsidR="00533E5B" w:rsidRPr="009E5A05" w:rsidRDefault="00FD3906" w:rsidP="00AB3C8A">
            <w:pPr>
              <w:pStyle w:val="Boldstatement"/>
            </w:pPr>
            <w:r>
              <w:lastRenderedPageBreak/>
              <w:t>Clinical competence</w:t>
            </w:r>
          </w:p>
        </w:tc>
      </w:tr>
      <w:tr w:rsidR="00C81DFA" w:rsidRPr="00003257" w14:paraId="69AE7605" w14:textId="77777777" w:rsidTr="00AB3C8A">
        <w:tc>
          <w:tcPr>
            <w:tcW w:w="5000" w:type="pct"/>
            <w:shd w:val="clear" w:color="auto" w:fill="E7E6E6"/>
            <w:tcMar>
              <w:top w:w="57" w:type="dxa"/>
              <w:bottom w:w="57" w:type="dxa"/>
            </w:tcMar>
          </w:tcPr>
          <w:p w14:paraId="3FC0FCC9" w14:textId="480D2CCF" w:rsidR="00C81DFA" w:rsidRPr="0087609D" w:rsidRDefault="00533E5B" w:rsidP="00AB3C8A">
            <w:pPr>
              <w:tabs>
                <w:tab w:val="left" w:pos="1926"/>
              </w:tabs>
              <w:spacing w:before="20" w:after="20"/>
            </w:pPr>
            <w:r>
              <w:rPr>
                <w:color w:val="262626" w:themeColor="text1" w:themeTint="D9"/>
              </w:rPr>
              <w:t>Taught content to include</w:t>
            </w:r>
            <w:r w:rsidR="00417BB9">
              <w:rPr>
                <w:color w:val="262626" w:themeColor="text1" w:themeTint="D9"/>
              </w:rPr>
              <w:t>:</w:t>
            </w:r>
          </w:p>
        </w:tc>
      </w:tr>
      <w:tr w:rsidR="00533E5B" w14:paraId="763A4D15" w14:textId="77777777" w:rsidTr="00533E5B">
        <w:tc>
          <w:tcPr>
            <w:tcW w:w="5000" w:type="pct"/>
            <w:tcMar>
              <w:top w:w="57" w:type="dxa"/>
              <w:bottom w:w="57" w:type="dxa"/>
            </w:tcMar>
          </w:tcPr>
          <w:p w14:paraId="64F29733" w14:textId="15771B1D" w:rsidR="00533E5B" w:rsidRPr="00274B2A" w:rsidRDefault="00533E5B" w:rsidP="00AB3C8A">
            <w:pPr>
              <w:rPr>
                <w:b/>
                <w:color w:val="702F8A"/>
              </w:rPr>
            </w:pPr>
            <w:r>
              <w:rPr>
                <w:b/>
                <w:color w:val="702F8A"/>
              </w:rPr>
              <w:t>4.7</w:t>
            </w:r>
            <w:r w:rsidRPr="00274B2A">
              <w:rPr>
                <w:b/>
                <w:color w:val="702F8A"/>
              </w:rPr>
              <w:t>.</w:t>
            </w:r>
            <w:r>
              <w:rPr>
                <w:b/>
                <w:color w:val="702F8A"/>
              </w:rPr>
              <w:t xml:space="preserve"> </w:t>
            </w:r>
            <w:r w:rsidRPr="00C81DFA">
              <w:rPr>
                <w:b/>
                <w:color w:val="702F8A"/>
              </w:rPr>
              <w:t>In line with patient consultation information, assess presenting factors</w:t>
            </w:r>
          </w:p>
          <w:p w14:paraId="24E19C7F" w14:textId="77777777" w:rsidR="00533E5B" w:rsidRDefault="00533E5B" w:rsidP="00C81DFA">
            <w:pPr>
              <w:pStyle w:val="Bullet"/>
            </w:pPr>
            <w:r>
              <w:t xml:space="preserve">Assess and document specific aesthetic concerns </w:t>
            </w:r>
          </w:p>
          <w:p w14:paraId="7E3D7A57" w14:textId="5AE582ED" w:rsidR="00533E5B" w:rsidRDefault="00533E5B" w:rsidP="00C81DFA">
            <w:pPr>
              <w:pStyle w:val="Bullet"/>
            </w:pPr>
            <w:r>
              <w:t xml:space="preserve">Skin quality, type and local condition </w:t>
            </w:r>
          </w:p>
          <w:p w14:paraId="7632BC29" w14:textId="1C0D8127" w:rsidR="00533E5B" w:rsidRDefault="00533E5B" w:rsidP="00C81DFA">
            <w:pPr>
              <w:pStyle w:val="Bullet"/>
            </w:pPr>
            <w:r>
              <w:t>Skin disease – use diagrams and annotate discussion</w:t>
            </w:r>
          </w:p>
          <w:p w14:paraId="50E27C6D" w14:textId="1B2650D9" w:rsidR="00533E5B" w:rsidRDefault="00533E5B" w:rsidP="00C81DFA">
            <w:pPr>
              <w:pStyle w:val="Bullet"/>
            </w:pPr>
            <w:r>
              <w:t xml:space="preserve">Patient’s anatomy and any common variation on anatomy that may impact on procedure </w:t>
            </w:r>
          </w:p>
          <w:p w14:paraId="1BCC31D9" w14:textId="7E6567E0" w:rsidR="00533E5B" w:rsidRDefault="00533E5B" w:rsidP="00C81DFA">
            <w:pPr>
              <w:pStyle w:val="Bullet"/>
            </w:pPr>
            <w:r>
              <w:t>Muscle tonicity and degree of movement</w:t>
            </w:r>
          </w:p>
          <w:p w14:paraId="03A119EB" w14:textId="0F904C8F" w:rsidR="00533E5B" w:rsidRDefault="00533E5B" w:rsidP="00C81DFA">
            <w:pPr>
              <w:pStyle w:val="Bullet"/>
            </w:pPr>
            <w:r>
              <w:t xml:space="preserve">Ethnicity </w:t>
            </w:r>
          </w:p>
          <w:p w14:paraId="566BF5CE" w14:textId="20EF1B3C" w:rsidR="00533E5B" w:rsidRDefault="00533E5B" w:rsidP="00C81DFA">
            <w:pPr>
              <w:pStyle w:val="Bullet"/>
            </w:pPr>
            <w:r>
              <w:t xml:space="preserve">Gender </w:t>
            </w:r>
          </w:p>
          <w:p w14:paraId="06C1CAD6" w14:textId="123A5AE2" w:rsidR="00533E5B" w:rsidRDefault="00533E5B" w:rsidP="00C81DFA">
            <w:pPr>
              <w:pStyle w:val="Bullet"/>
            </w:pPr>
            <w:r>
              <w:t xml:space="preserve">Intrinsic and extrinsic ageing factors </w:t>
            </w:r>
          </w:p>
          <w:p w14:paraId="4D20802C" w14:textId="290047A7" w:rsidR="00533E5B" w:rsidRDefault="00533E5B" w:rsidP="00C81DFA">
            <w:pPr>
              <w:pStyle w:val="Bullet"/>
            </w:pPr>
            <w:r>
              <w:t>Facial shape/proportions</w:t>
            </w:r>
          </w:p>
          <w:p w14:paraId="136955E7" w14:textId="77777777" w:rsidR="00533E5B" w:rsidRDefault="00533E5B" w:rsidP="00AB3C8A">
            <w:pPr>
              <w:pStyle w:val="Bullet"/>
              <w:numPr>
                <w:ilvl w:val="0"/>
                <w:numId w:val="0"/>
              </w:numPr>
              <w:ind w:left="357" w:hanging="357"/>
            </w:pPr>
          </w:p>
          <w:p w14:paraId="4B112CB3" w14:textId="00FBF257" w:rsidR="00533E5B" w:rsidRPr="00274B2A" w:rsidRDefault="00533E5B" w:rsidP="00AB3C8A">
            <w:pPr>
              <w:rPr>
                <w:b/>
                <w:color w:val="702F8A"/>
              </w:rPr>
            </w:pPr>
            <w:r>
              <w:rPr>
                <w:b/>
                <w:color w:val="702F8A"/>
              </w:rPr>
              <w:t>4.8</w:t>
            </w:r>
            <w:r w:rsidRPr="00274B2A">
              <w:rPr>
                <w:b/>
                <w:color w:val="702F8A"/>
              </w:rPr>
              <w:t>.</w:t>
            </w:r>
            <w:r>
              <w:rPr>
                <w:b/>
                <w:color w:val="702F8A"/>
              </w:rPr>
              <w:t xml:space="preserve"> </w:t>
            </w:r>
            <w:r w:rsidRPr="00C81DFA">
              <w:rPr>
                <w:b/>
                <w:color w:val="702F8A"/>
              </w:rPr>
              <w:t>Prescribe appropriate procedure</w:t>
            </w:r>
          </w:p>
          <w:p w14:paraId="4FD686EC" w14:textId="5051DA9D" w:rsidR="00533E5B" w:rsidRDefault="00533E5B" w:rsidP="00C81DFA">
            <w:pPr>
              <w:pStyle w:val="Bullet"/>
            </w:pPr>
            <w:r>
              <w:t>In accordance with prescribing legislation and Professional Records Standards Body (PRSB) medicine management guidance, meeting aims and objects of desired ou</w:t>
            </w:r>
            <w:r w:rsidR="00326868">
              <w:t>tcomes. Prescribers must practis</w:t>
            </w:r>
            <w:r>
              <w:t>e in accordance with the Royal Pharmaceutical Society “A Competency Framework for all Prescribers” and other PRSB guidance and signposting</w:t>
            </w:r>
          </w:p>
          <w:p w14:paraId="1D2B5C8E" w14:textId="77777777" w:rsidR="00533E5B" w:rsidRDefault="00533E5B" w:rsidP="00C81DFA">
            <w:pPr>
              <w:pStyle w:val="Bullet"/>
            </w:pPr>
            <w:r>
              <w:t>Mechanisms of prescribing to include ‘Patient Specifi</w:t>
            </w:r>
            <w:r w:rsidR="00326868">
              <w:t>c Direction’ and stock holding r</w:t>
            </w:r>
            <w:r>
              <w:t>eference the independent prescribers, options for digital and written prescriptions</w:t>
            </w:r>
          </w:p>
          <w:p w14:paraId="22FE78EA" w14:textId="238A7D9E" w:rsidR="00FD3906" w:rsidRDefault="00FD3906" w:rsidP="00C81DFA">
            <w:pPr>
              <w:pStyle w:val="Bullet"/>
            </w:pPr>
            <w:r>
              <w:t>Determine product selection based upon professional judgment and patient needs</w:t>
            </w:r>
          </w:p>
        </w:tc>
      </w:tr>
    </w:tbl>
    <w:p w14:paraId="5AAF3464" w14:textId="4041CB90" w:rsidR="00C81DFA" w:rsidRDefault="00C81DFA" w:rsidP="00C81DFA"/>
    <w:p w14:paraId="372B2476" w14:textId="60BE18FD" w:rsidR="00C81DFA" w:rsidRDefault="00C81DFA" w:rsidP="00C81DFA"/>
    <w:p w14:paraId="77D193A6" w14:textId="77777777" w:rsidR="00C81DFA" w:rsidRPr="00C81DFA" w:rsidRDefault="00C81DFA" w:rsidP="00C81DFA"/>
    <w:p w14:paraId="37C98C26" w14:textId="77777777" w:rsidR="00C35465" w:rsidRDefault="00C35465" w:rsidP="00C35465">
      <w:pPr>
        <w:pStyle w:val="Bullet2"/>
        <w:numPr>
          <w:ilvl w:val="0"/>
          <w:numId w:val="0"/>
        </w:numPr>
        <w:rPr>
          <w:highlight w:val="yellow"/>
        </w:rPr>
      </w:pPr>
    </w:p>
    <w:p w14:paraId="4A12555C" w14:textId="77777777" w:rsidR="00C35465" w:rsidRDefault="00C35465">
      <w:pPr>
        <w:spacing w:line="259" w:lineRule="auto"/>
        <w:rPr>
          <w:highlight w:val="yellow"/>
        </w:rPr>
      </w:pPr>
      <w:r>
        <w:rPr>
          <w:highlight w:val="yellow"/>
        </w:rPr>
        <w:br w:type="page"/>
      </w:r>
    </w:p>
    <w:p w14:paraId="3C61962B" w14:textId="747E6B45" w:rsidR="00C35465" w:rsidRDefault="00C35465" w:rsidP="00C35465">
      <w:pPr>
        <w:pStyle w:val="Heading2"/>
      </w:pPr>
      <w:r w:rsidRPr="00B74EED">
        <w:rPr>
          <w:szCs w:val="28"/>
        </w:rPr>
        <w:lastRenderedPageBreak/>
        <w:t>LO</w:t>
      </w:r>
      <w:r w:rsidR="006110FE">
        <w:rPr>
          <w:szCs w:val="28"/>
        </w:rPr>
        <w:t>5</w:t>
      </w:r>
      <w:r>
        <w:rPr>
          <w:szCs w:val="28"/>
        </w:rPr>
        <w:t xml:space="preserve"> </w:t>
      </w:r>
      <w:r w:rsidR="00D0283A">
        <w:rPr>
          <w:szCs w:val="28"/>
        </w:rPr>
        <w:t xml:space="preserve">Demonstrate </w:t>
      </w:r>
      <w:r w:rsidR="00F43DD5">
        <w:rPr>
          <w:szCs w:val="28"/>
        </w:rPr>
        <w:t>proficiency</w:t>
      </w:r>
      <w:r w:rsidR="00D0283A">
        <w:rPr>
          <w:szCs w:val="28"/>
        </w:rPr>
        <w:t xml:space="preserve"> in the administration of b</w:t>
      </w:r>
      <w:r w:rsidR="00820BEA">
        <w:t>otulinum toxin</w:t>
      </w: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533E5B" w:rsidRPr="007F0350" w14:paraId="3D25877B" w14:textId="77777777" w:rsidTr="00533E5B">
        <w:tc>
          <w:tcPr>
            <w:tcW w:w="5000" w:type="pct"/>
            <w:shd w:val="clear" w:color="auto" w:fill="EFDFF5"/>
            <w:tcMar>
              <w:top w:w="57" w:type="dxa"/>
              <w:bottom w:w="57" w:type="dxa"/>
            </w:tcMar>
            <w:vAlign w:val="center"/>
          </w:tcPr>
          <w:p w14:paraId="4F2AEF27" w14:textId="5387F233" w:rsidR="00533E5B" w:rsidRPr="009E5A05" w:rsidRDefault="00533E5B" w:rsidP="00AB3C8A">
            <w:pPr>
              <w:pStyle w:val="Boldstatement"/>
            </w:pPr>
            <w:r w:rsidRPr="00996239">
              <w:t>Clinical competence</w:t>
            </w:r>
          </w:p>
        </w:tc>
      </w:tr>
      <w:tr w:rsidR="009A25D8" w:rsidRPr="00003257" w14:paraId="090E1BD7" w14:textId="77777777" w:rsidTr="00AB3C8A">
        <w:tc>
          <w:tcPr>
            <w:tcW w:w="5000" w:type="pct"/>
            <w:shd w:val="clear" w:color="auto" w:fill="E7E6E6"/>
            <w:tcMar>
              <w:top w:w="57" w:type="dxa"/>
              <w:bottom w:w="57" w:type="dxa"/>
            </w:tcMar>
          </w:tcPr>
          <w:p w14:paraId="63CB4B21" w14:textId="15A40F26" w:rsidR="009A25D8" w:rsidRPr="0087609D" w:rsidRDefault="00533E5B" w:rsidP="00AB3C8A">
            <w:pPr>
              <w:tabs>
                <w:tab w:val="left" w:pos="1926"/>
              </w:tabs>
              <w:spacing w:before="20" w:after="20"/>
            </w:pPr>
            <w:r>
              <w:rPr>
                <w:color w:val="262626" w:themeColor="text1" w:themeTint="D9"/>
              </w:rPr>
              <w:t>Taught content to include</w:t>
            </w:r>
            <w:r w:rsidR="00417BB9">
              <w:rPr>
                <w:color w:val="262626" w:themeColor="text1" w:themeTint="D9"/>
              </w:rPr>
              <w:t>:</w:t>
            </w:r>
          </w:p>
        </w:tc>
      </w:tr>
      <w:tr w:rsidR="00533E5B" w14:paraId="332BB5C1" w14:textId="77777777" w:rsidTr="00533E5B">
        <w:tc>
          <w:tcPr>
            <w:tcW w:w="5000" w:type="pct"/>
            <w:tcMar>
              <w:top w:w="57" w:type="dxa"/>
              <w:bottom w:w="57" w:type="dxa"/>
            </w:tcMar>
          </w:tcPr>
          <w:p w14:paraId="7D4EBB54" w14:textId="6F330A6F" w:rsidR="00533E5B" w:rsidRPr="00274B2A" w:rsidRDefault="00533E5B" w:rsidP="00AB3C8A">
            <w:pPr>
              <w:rPr>
                <w:b/>
                <w:color w:val="702F8A"/>
              </w:rPr>
            </w:pPr>
            <w:r>
              <w:rPr>
                <w:b/>
                <w:color w:val="702F8A"/>
              </w:rPr>
              <w:t>5.1</w:t>
            </w:r>
            <w:r w:rsidRPr="00274B2A">
              <w:rPr>
                <w:b/>
                <w:color w:val="702F8A"/>
              </w:rPr>
              <w:t>.</w:t>
            </w:r>
            <w:r>
              <w:rPr>
                <w:b/>
                <w:color w:val="702F8A"/>
              </w:rPr>
              <w:t xml:space="preserve"> </w:t>
            </w:r>
            <w:r w:rsidRPr="009A25D8">
              <w:rPr>
                <w:b/>
                <w:color w:val="702F8A"/>
              </w:rPr>
              <w:t>Prepare the procedures area</w:t>
            </w:r>
            <w:r w:rsidR="00302C4E">
              <w:rPr>
                <w:b/>
                <w:color w:val="702F8A"/>
              </w:rPr>
              <w:t xml:space="preserve"> (environment) </w:t>
            </w:r>
          </w:p>
          <w:p w14:paraId="361A45AE" w14:textId="77777777" w:rsidR="00533E5B" w:rsidRDefault="00533E5B" w:rsidP="009A25D8">
            <w:pPr>
              <w:pStyle w:val="Bullet"/>
            </w:pPr>
            <w:r>
              <w:t>Select and utilise appropriate PPE/C</w:t>
            </w:r>
          </w:p>
          <w:p w14:paraId="28EFE759" w14:textId="77777777" w:rsidR="00533E5B" w:rsidRDefault="00533E5B" w:rsidP="009A25D8">
            <w:pPr>
              <w:pStyle w:val="Bullet"/>
            </w:pPr>
            <w:r>
              <w:t>Apply universal infection control precautions (ANTT)</w:t>
            </w:r>
          </w:p>
          <w:p w14:paraId="168B1195" w14:textId="77777777" w:rsidR="00533E5B" w:rsidRDefault="00533E5B" w:rsidP="009A25D8">
            <w:pPr>
              <w:pStyle w:val="Bullet"/>
            </w:pPr>
            <w:r>
              <w:t>Prepare for procedure selecting effective hygiene products</w:t>
            </w:r>
          </w:p>
          <w:p w14:paraId="2414E430" w14:textId="702E4935" w:rsidR="00533E5B" w:rsidRDefault="00533E5B" w:rsidP="009A25D8">
            <w:pPr>
              <w:pStyle w:val="Bullet"/>
            </w:pPr>
            <w:r>
              <w:t>Prepare appropriate equipment and environment for agreed procedure</w:t>
            </w:r>
          </w:p>
          <w:p w14:paraId="5082D201" w14:textId="77777777" w:rsidR="00533E5B" w:rsidRDefault="00533E5B" w:rsidP="00AB3C8A">
            <w:pPr>
              <w:pStyle w:val="Bullet"/>
              <w:numPr>
                <w:ilvl w:val="0"/>
                <w:numId w:val="0"/>
              </w:numPr>
              <w:ind w:left="357" w:hanging="357"/>
            </w:pPr>
          </w:p>
          <w:p w14:paraId="45BF5362" w14:textId="4A36A36B" w:rsidR="00533E5B" w:rsidRDefault="00533E5B" w:rsidP="00AB3C8A">
            <w:pPr>
              <w:rPr>
                <w:b/>
                <w:color w:val="702F8A"/>
              </w:rPr>
            </w:pPr>
            <w:r>
              <w:rPr>
                <w:b/>
                <w:color w:val="702F8A"/>
              </w:rPr>
              <w:t>5.2</w:t>
            </w:r>
            <w:r w:rsidRPr="00274B2A">
              <w:rPr>
                <w:b/>
                <w:color w:val="702F8A"/>
              </w:rPr>
              <w:t>.</w:t>
            </w:r>
            <w:r>
              <w:rPr>
                <w:b/>
                <w:color w:val="702F8A"/>
              </w:rPr>
              <w:t xml:space="preserve"> </w:t>
            </w:r>
            <w:r w:rsidRPr="009A25D8">
              <w:rPr>
                <w:b/>
                <w:color w:val="702F8A"/>
              </w:rPr>
              <w:t>Consult</w:t>
            </w:r>
          </w:p>
          <w:p w14:paraId="30595ABC" w14:textId="77777777" w:rsidR="00302C4E" w:rsidRDefault="00302C4E" w:rsidP="00302C4E">
            <w:pPr>
              <w:pStyle w:val="Bullet"/>
            </w:pPr>
            <w:r>
              <w:t>Introduce themselves</w:t>
            </w:r>
          </w:p>
          <w:p w14:paraId="0CC3B084" w14:textId="3B204172" w:rsidR="00533E5B" w:rsidRDefault="00533E5B" w:rsidP="009A25D8">
            <w:pPr>
              <w:pStyle w:val="Bullet"/>
            </w:pPr>
            <w:r>
              <w:t xml:space="preserve">Undertake a concise and comprehensive medical and cosmetic consultation </w:t>
            </w:r>
          </w:p>
          <w:p w14:paraId="4A576C8D" w14:textId="0FB0E26A" w:rsidR="00533E5B" w:rsidRDefault="00533E5B" w:rsidP="009A25D8">
            <w:pPr>
              <w:pStyle w:val="Bullet"/>
            </w:pPr>
            <w:r>
              <w:t>Determine the patient’s competence to understand the intervention assessment process and their</w:t>
            </w:r>
            <w:r w:rsidR="007A08A1">
              <w:t xml:space="preserve"> capacity to give valid consent</w:t>
            </w:r>
          </w:p>
          <w:p w14:paraId="16EC4AB2" w14:textId="5F7B8E59" w:rsidR="00533E5B" w:rsidRDefault="00FD3906" w:rsidP="009A25D8">
            <w:pPr>
              <w:pStyle w:val="Bullet"/>
            </w:pPr>
            <w:r>
              <w:t>U</w:t>
            </w:r>
            <w:r w:rsidR="00533E5B">
              <w:t>tilise pre-procedure patient photographs</w:t>
            </w:r>
          </w:p>
          <w:p w14:paraId="01FA509B" w14:textId="77777777" w:rsidR="00533E5B" w:rsidRDefault="00533E5B" w:rsidP="009A25D8">
            <w:pPr>
              <w:pStyle w:val="Bullet"/>
            </w:pPr>
            <w:r>
              <w:t>Identify realistic outcomes to be achieved, describing limitations and managing expectations</w:t>
            </w:r>
          </w:p>
          <w:p w14:paraId="7AF2F7C9" w14:textId="2D0A075B" w:rsidR="00533E5B" w:rsidRDefault="00533E5B" w:rsidP="009A25D8">
            <w:pPr>
              <w:pStyle w:val="Bullet"/>
            </w:pPr>
            <w:r>
              <w:t>Establish absolute</w:t>
            </w:r>
            <w:r w:rsidR="00326868">
              <w:t xml:space="preserve"> and relative contra-indication</w:t>
            </w:r>
            <w:r>
              <w:t xml:space="preserve"> timescales, downtime, </w:t>
            </w:r>
            <w:r w:rsidR="00326868">
              <w:t>cooling-</w:t>
            </w:r>
            <w:r>
              <w:t>off period</w:t>
            </w:r>
          </w:p>
          <w:p w14:paraId="3DB92D9F" w14:textId="77777777" w:rsidR="00533E5B" w:rsidRDefault="00533E5B" w:rsidP="009A25D8">
            <w:pPr>
              <w:pStyle w:val="Bullet"/>
            </w:pPr>
            <w:r>
              <w:t>Identify if any additional information is needed from other clinicians</w:t>
            </w:r>
          </w:p>
          <w:p w14:paraId="33AFB106" w14:textId="77777777" w:rsidR="00533E5B" w:rsidRDefault="00533E5B" w:rsidP="009A25D8">
            <w:pPr>
              <w:pStyle w:val="Bullet"/>
              <w:numPr>
                <w:ilvl w:val="0"/>
                <w:numId w:val="0"/>
              </w:numPr>
              <w:ind w:left="357" w:hanging="357"/>
            </w:pPr>
          </w:p>
          <w:p w14:paraId="0EDC0FAA" w14:textId="01079CBD" w:rsidR="00533E5B" w:rsidRPr="00274B2A" w:rsidRDefault="00533E5B" w:rsidP="009A25D8">
            <w:pPr>
              <w:rPr>
                <w:b/>
                <w:color w:val="702F8A"/>
              </w:rPr>
            </w:pPr>
            <w:r>
              <w:rPr>
                <w:b/>
                <w:color w:val="702F8A"/>
              </w:rPr>
              <w:t>5.3</w:t>
            </w:r>
            <w:r w:rsidRPr="00274B2A">
              <w:rPr>
                <w:b/>
                <w:color w:val="702F8A"/>
              </w:rPr>
              <w:t>.</w:t>
            </w:r>
            <w:r>
              <w:rPr>
                <w:b/>
                <w:color w:val="702F8A"/>
              </w:rPr>
              <w:t xml:space="preserve"> </w:t>
            </w:r>
            <w:r w:rsidRPr="009A25D8">
              <w:rPr>
                <w:b/>
                <w:color w:val="702F8A"/>
              </w:rPr>
              <w:t>Assess the skin</w:t>
            </w:r>
          </w:p>
          <w:p w14:paraId="52CC6A49" w14:textId="2210E7AB" w:rsidR="00533E5B" w:rsidRDefault="0045276A" w:rsidP="009A25D8">
            <w:pPr>
              <w:pStyle w:val="Bullet"/>
            </w:pPr>
            <w:r>
              <w:t>Visually asses</w:t>
            </w:r>
            <w:r w:rsidR="00533E5B">
              <w:t>s the procedures area cosmetically and medically</w:t>
            </w:r>
          </w:p>
          <w:p w14:paraId="00A112E3" w14:textId="77777777" w:rsidR="00533E5B" w:rsidRDefault="00533E5B" w:rsidP="009A25D8">
            <w:pPr>
              <w:pStyle w:val="Bullet"/>
            </w:pPr>
            <w:r>
              <w:t xml:space="preserve">Demonstrate ability to identify relevant anatomical landmarks related to agreed procedure  </w:t>
            </w:r>
          </w:p>
          <w:p w14:paraId="3E5E3E7F" w14:textId="5B1C23F2" w:rsidR="00533E5B" w:rsidRDefault="00326868" w:rsidP="009A25D8">
            <w:pPr>
              <w:pStyle w:val="Bullet"/>
            </w:pPr>
            <w:r>
              <w:t>I</w:t>
            </w:r>
            <w:r w:rsidR="00533E5B">
              <w:t>mplement use of marking out tools as required</w:t>
            </w:r>
          </w:p>
          <w:p w14:paraId="4090522C" w14:textId="619BECE1" w:rsidR="00533E5B" w:rsidRDefault="00533E5B" w:rsidP="009A25D8">
            <w:pPr>
              <w:pStyle w:val="Bullet"/>
            </w:pPr>
            <w:r>
              <w:t>Agree a suitable procedure plan and appropriate care for the individual patient</w:t>
            </w:r>
            <w:r w:rsidR="00326868">
              <w:t>,</w:t>
            </w:r>
            <w:r>
              <w:t xml:space="preserve"> obtaining informed consent</w:t>
            </w:r>
          </w:p>
          <w:p w14:paraId="47490326" w14:textId="7BAD4496" w:rsidR="00533E5B" w:rsidRDefault="00533E5B" w:rsidP="009A25D8">
            <w:pPr>
              <w:pStyle w:val="Bullet"/>
            </w:pPr>
            <w:r>
              <w:t>Determine product selection based upon professional judgment and patient needs</w:t>
            </w:r>
          </w:p>
          <w:p w14:paraId="13F6960C" w14:textId="77777777" w:rsidR="00533E5B" w:rsidRDefault="00533E5B" w:rsidP="009A25D8">
            <w:pPr>
              <w:pStyle w:val="Bullet"/>
              <w:numPr>
                <w:ilvl w:val="0"/>
                <w:numId w:val="0"/>
              </w:numPr>
              <w:ind w:left="357" w:hanging="357"/>
            </w:pPr>
          </w:p>
          <w:p w14:paraId="43BC93E6" w14:textId="20428662" w:rsidR="00533E5B" w:rsidRPr="00274B2A" w:rsidRDefault="00533E5B" w:rsidP="009A25D8">
            <w:pPr>
              <w:rPr>
                <w:b/>
                <w:color w:val="702F8A"/>
              </w:rPr>
            </w:pPr>
            <w:r>
              <w:rPr>
                <w:b/>
                <w:color w:val="702F8A"/>
              </w:rPr>
              <w:t>5.4</w:t>
            </w:r>
            <w:r w:rsidRPr="00274B2A">
              <w:rPr>
                <w:b/>
                <w:color w:val="702F8A"/>
              </w:rPr>
              <w:t>.</w:t>
            </w:r>
            <w:r>
              <w:rPr>
                <w:b/>
                <w:color w:val="702F8A"/>
              </w:rPr>
              <w:t xml:space="preserve"> </w:t>
            </w:r>
            <w:r w:rsidRPr="009A25D8">
              <w:rPr>
                <w:b/>
                <w:color w:val="702F8A"/>
              </w:rPr>
              <w:t>Deliver</w:t>
            </w:r>
          </w:p>
          <w:p w14:paraId="61ABE68B" w14:textId="77777777" w:rsidR="00533E5B" w:rsidRDefault="00533E5B" w:rsidP="009A25D8">
            <w:pPr>
              <w:pStyle w:val="Bullet"/>
            </w:pPr>
            <w:r>
              <w:t>Demonstrate aseptic techniques during administration</w:t>
            </w:r>
          </w:p>
          <w:p w14:paraId="1AB8464E" w14:textId="77777777" w:rsidR="00533E5B" w:rsidRDefault="00533E5B" w:rsidP="009A25D8">
            <w:pPr>
              <w:pStyle w:val="Bullet"/>
            </w:pPr>
            <w:r>
              <w:t xml:space="preserve">Prepare the area to be treated to ensure it is hygienic </w:t>
            </w:r>
          </w:p>
          <w:p w14:paraId="2A6DCFB7" w14:textId="3B15868C" w:rsidR="00533E5B" w:rsidRDefault="00533E5B" w:rsidP="009A25D8">
            <w:pPr>
              <w:pStyle w:val="Bullet"/>
            </w:pPr>
            <w:r>
              <w:t xml:space="preserve">Apply topical anaesthetic </w:t>
            </w:r>
            <w:r w:rsidR="008153CD">
              <w:t>if</w:t>
            </w:r>
            <w:r>
              <w:t xml:space="preserve"> appropriate</w:t>
            </w:r>
          </w:p>
          <w:p w14:paraId="51C66DDB" w14:textId="3E19DA90" w:rsidR="00533E5B" w:rsidRDefault="00533E5B" w:rsidP="009A25D8">
            <w:pPr>
              <w:pStyle w:val="Bullet"/>
            </w:pPr>
            <w:r>
              <w:t xml:space="preserve">maintaining patient privacy and dignity </w:t>
            </w:r>
          </w:p>
          <w:p w14:paraId="4471443F" w14:textId="77777777" w:rsidR="00533E5B" w:rsidRDefault="00533E5B" w:rsidP="009A25D8">
            <w:pPr>
              <w:pStyle w:val="Bullet"/>
            </w:pPr>
            <w:r>
              <w:t xml:space="preserve">Adhere to patient consented care plan </w:t>
            </w:r>
          </w:p>
          <w:p w14:paraId="48540EFC" w14:textId="495FDEDA" w:rsidR="00533E5B" w:rsidRDefault="00533E5B" w:rsidP="009A25D8">
            <w:pPr>
              <w:pStyle w:val="Bullet"/>
            </w:pPr>
            <w:r>
              <w:t>Demonstrate</w:t>
            </w:r>
          </w:p>
          <w:p w14:paraId="5BCFBB2D" w14:textId="2602C12A" w:rsidR="00533E5B" w:rsidRDefault="00533E5B" w:rsidP="009A25D8">
            <w:pPr>
              <w:pStyle w:val="Bullet2"/>
            </w:pPr>
            <w:r>
              <w:t xml:space="preserve">Safe syringe preparation </w:t>
            </w:r>
          </w:p>
          <w:p w14:paraId="4B4CA130" w14:textId="0EBCD0DA" w:rsidR="00533E5B" w:rsidRDefault="00533E5B" w:rsidP="009A25D8">
            <w:pPr>
              <w:pStyle w:val="Bullet2"/>
            </w:pPr>
            <w:r>
              <w:t>Safe and accurate reconstitution</w:t>
            </w:r>
          </w:p>
          <w:p w14:paraId="55D0813B" w14:textId="0685E42B" w:rsidR="00533E5B" w:rsidRDefault="00533E5B" w:rsidP="009A25D8">
            <w:pPr>
              <w:pStyle w:val="Bullet2"/>
            </w:pPr>
            <w:r>
              <w:t xml:space="preserve">Safe withdrawal into syringe </w:t>
            </w:r>
          </w:p>
          <w:p w14:paraId="13169F63" w14:textId="77777777" w:rsidR="00533E5B" w:rsidRDefault="00533E5B" w:rsidP="009A25D8">
            <w:pPr>
              <w:pStyle w:val="Bullet"/>
            </w:pPr>
            <w:r>
              <w:t xml:space="preserve">Demonstrate accuracy referring to injection </w:t>
            </w:r>
          </w:p>
          <w:p w14:paraId="65ED51FC" w14:textId="1990C27E" w:rsidR="00533E5B" w:rsidRDefault="00533E5B" w:rsidP="009A25D8">
            <w:pPr>
              <w:pStyle w:val="Bullet2"/>
            </w:pPr>
            <w:r>
              <w:t>Site depth</w:t>
            </w:r>
          </w:p>
          <w:p w14:paraId="5C6F1327" w14:textId="05EC8D69" w:rsidR="00533E5B" w:rsidRDefault="00533E5B" w:rsidP="009A25D8">
            <w:pPr>
              <w:pStyle w:val="Bullet2"/>
            </w:pPr>
            <w:r>
              <w:t>Volume</w:t>
            </w:r>
          </w:p>
          <w:p w14:paraId="2C3E9A82" w14:textId="4E57318D" w:rsidR="00533E5B" w:rsidRDefault="00533E5B" w:rsidP="009A25D8">
            <w:pPr>
              <w:pStyle w:val="Bullet2"/>
            </w:pPr>
            <w:r>
              <w:t xml:space="preserve">Dosage </w:t>
            </w:r>
          </w:p>
          <w:p w14:paraId="78BA30CF" w14:textId="77777777" w:rsidR="00533E5B" w:rsidRDefault="00533E5B" w:rsidP="009A25D8">
            <w:pPr>
              <w:pStyle w:val="Bullet"/>
            </w:pPr>
            <w:r>
              <w:t>Demonstrate safe and appropriate injection techniques</w:t>
            </w:r>
          </w:p>
          <w:p w14:paraId="19EF6F43" w14:textId="77777777" w:rsidR="00533E5B" w:rsidRDefault="00533E5B" w:rsidP="009A25D8">
            <w:pPr>
              <w:pStyle w:val="Bullet"/>
            </w:pPr>
            <w:r>
              <w:t xml:space="preserve">Reconstitute and store botulinum toxin products </w:t>
            </w:r>
          </w:p>
          <w:p w14:paraId="118C0CC6" w14:textId="097F0CAA" w:rsidR="00533E5B" w:rsidRDefault="00533E5B" w:rsidP="009A25D8">
            <w:pPr>
              <w:pStyle w:val="Bullet"/>
            </w:pPr>
            <w:r>
              <w:t>Monitor individual</w:t>
            </w:r>
            <w:r w:rsidR="00326868">
              <w:t>’</w:t>
            </w:r>
            <w:r>
              <w:t>s health, wellbeing and reactions</w:t>
            </w:r>
          </w:p>
          <w:p w14:paraId="719D3278" w14:textId="0E91A797" w:rsidR="008153CD" w:rsidRDefault="00533E5B" w:rsidP="009A25D8">
            <w:pPr>
              <w:pStyle w:val="Bullet"/>
            </w:pPr>
            <w:r>
              <w:t xml:space="preserve">Take prompt corrective actions if required </w:t>
            </w:r>
          </w:p>
          <w:p w14:paraId="0BCAA129" w14:textId="31A2E919" w:rsidR="008153CD" w:rsidRDefault="008153CD">
            <w:pPr>
              <w:pStyle w:val="Bullet"/>
            </w:pPr>
            <w:r>
              <w:t>Conclude the procedure in line procedure protocols</w:t>
            </w:r>
          </w:p>
          <w:p w14:paraId="634CB7E0" w14:textId="77777777" w:rsidR="00533E5B" w:rsidRDefault="00533E5B" w:rsidP="009A25D8">
            <w:pPr>
              <w:pStyle w:val="Bullet"/>
            </w:pPr>
            <w:r>
              <w:t xml:space="preserve">Record details of procedure  </w:t>
            </w:r>
          </w:p>
          <w:p w14:paraId="1136ECBC" w14:textId="77777777" w:rsidR="00533E5B" w:rsidRDefault="00533E5B" w:rsidP="009A25D8">
            <w:pPr>
              <w:pStyle w:val="Bullet"/>
            </w:pPr>
            <w:r>
              <w:lastRenderedPageBreak/>
              <w:t>Take and utilise post-procedure patient photograph</w:t>
            </w:r>
          </w:p>
          <w:p w14:paraId="0324B268" w14:textId="77777777" w:rsidR="00533E5B" w:rsidRDefault="00533E5B" w:rsidP="009A25D8">
            <w:pPr>
              <w:pStyle w:val="Bullet"/>
            </w:pPr>
            <w:r>
              <w:t xml:space="preserve">Develop and discuss aftercare plan </w:t>
            </w:r>
          </w:p>
          <w:p w14:paraId="31DCE58C" w14:textId="04D6F3A6" w:rsidR="00533E5B" w:rsidRDefault="00533E5B" w:rsidP="009A25D8">
            <w:pPr>
              <w:pStyle w:val="Bullet"/>
            </w:pPr>
            <w:r>
              <w:t>Provide post procedure aftercare advice</w:t>
            </w:r>
            <w:r w:rsidR="008153CD">
              <w:t xml:space="preserve"> </w:t>
            </w:r>
            <w:r>
              <w:t xml:space="preserve"> </w:t>
            </w:r>
            <w:r w:rsidR="008153CD">
              <w:t>(</w:t>
            </w:r>
            <w:r>
              <w:t>gain written confirmation</w:t>
            </w:r>
            <w:r w:rsidR="008153CD">
              <w:t>)</w:t>
            </w:r>
          </w:p>
          <w:p w14:paraId="025EF452" w14:textId="77777777" w:rsidR="00533E5B" w:rsidRDefault="00533E5B" w:rsidP="009A25D8">
            <w:pPr>
              <w:pStyle w:val="Bullet"/>
            </w:pPr>
            <w:r>
              <w:t>Confirm post procedure review appointment date</w:t>
            </w:r>
          </w:p>
          <w:p w14:paraId="0FCFAAB6" w14:textId="5B707057" w:rsidR="00533E5B" w:rsidRDefault="00533E5B" w:rsidP="009A25D8">
            <w:pPr>
              <w:pStyle w:val="Bullet"/>
            </w:pPr>
            <w:r>
              <w:t>Provide necessary post-procedure medicines/equipment</w:t>
            </w:r>
          </w:p>
          <w:p w14:paraId="784A6F5F" w14:textId="2623B9D5" w:rsidR="00533E5B" w:rsidRDefault="00533E5B" w:rsidP="00063CAC">
            <w:pPr>
              <w:pStyle w:val="Bullet"/>
            </w:pPr>
            <w:r>
              <w:t xml:space="preserve">Dispose of all used equipment safely and appropriately </w:t>
            </w:r>
          </w:p>
        </w:tc>
      </w:tr>
    </w:tbl>
    <w:p w14:paraId="2C7A36A6" w14:textId="1AF8CEC4" w:rsidR="009A25D8" w:rsidRDefault="009A25D8" w:rsidP="009A25D8"/>
    <w:p w14:paraId="5621084C" w14:textId="6D0B78D0" w:rsidR="00533E5B" w:rsidRDefault="00533E5B" w:rsidP="009A25D8"/>
    <w:p w14:paraId="6C26BBF8" w14:textId="25010C3C" w:rsidR="00533E5B" w:rsidRDefault="00533E5B" w:rsidP="009A25D8"/>
    <w:p w14:paraId="343F0F4C" w14:textId="5C19C08F" w:rsidR="00533E5B" w:rsidRDefault="00533E5B" w:rsidP="009A25D8"/>
    <w:p w14:paraId="62FD22D6" w14:textId="2286508F" w:rsidR="00533E5B" w:rsidRDefault="00533E5B" w:rsidP="009A25D8"/>
    <w:p w14:paraId="15CD4FC6" w14:textId="7EEA59E8" w:rsidR="00533E5B" w:rsidRDefault="00533E5B" w:rsidP="009A25D8"/>
    <w:p w14:paraId="7F881788" w14:textId="04344D60" w:rsidR="00533E5B" w:rsidRDefault="00533E5B" w:rsidP="009A25D8"/>
    <w:p w14:paraId="65891EB6" w14:textId="4976EC18" w:rsidR="00533E5B" w:rsidRDefault="00533E5B" w:rsidP="009A25D8"/>
    <w:p w14:paraId="724C232A" w14:textId="2326FA8B" w:rsidR="00533E5B" w:rsidRDefault="00533E5B" w:rsidP="009A25D8"/>
    <w:p w14:paraId="29666BE2" w14:textId="743C8188" w:rsidR="00533E5B" w:rsidRDefault="00533E5B" w:rsidP="009A25D8"/>
    <w:p w14:paraId="50422356" w14:textId="5250406B" w:rsidR="00533E5B" w:rsidRDefault="00533E5B" w:rsidP="009A25D8"/>
    <w:p w14:paraId="6BC42149" w14:textId="51A877AF" w:rsidR="00533E5B" w:rsidRDefault="00533E5B" w:rsidP="009A25D8"/>
    <w:p w14:paraId="47045B13" w14:textId="0F56D319" w:rsidR="00533E5B" w:rsidRDefault="00533E5B" w:rsidP="009A25D8"/>
    <w:p w14:paraId="10ED1A16" w14:textId="5D52A1DD" w:rsidR="00533E5B" w:rsidRDefault="00533E5B" w:rsidP="009A25D8"/>
    <w:p w14:paraId="461887A2" w14:textId="4E6E7185" w:rsidR="00533E5B" w:rsidRDefault="00533E5B" w:rsidP="009A25D8"/>
    <w:p w14:paraId="7E05DE85" w14:textId="37B6A68B" w:rsidR="00533E5B" w:rsidRDefault="00533E5B" w:rsidP="009A25D8"/>
    <w:p w14:paraId="7243A5BB" w14:textId="77777777" w:rsidR="00983532" w:rsidRDefault="00983532" w:rsidP="009A25D8"/>
    <w:p w14:paraId="2839DDE3" w14:textId="77777777" w:rsidR="00983532" w:rsidRDefault="00983532" w:rsidP="009A25D8"/>
    <w:p w14:paraId="39FB3C96" w14:textId="2A55AEF0" w:rsidR="00533E5B" w:rsidRDefault="00533E5B" w:rsidP="009A25D8"/>
    <w:p w14:paraId="3424FD23" w14:textId="5668319B" w:rsidR="00533E5B" w:rsidRDefault="00533E5B" w:rsidP="009A25D8"/>
    <w:p w14:paraId="09E50BD2" w14:textId="377FE586" w:rsidR="00533E5B" w:rsidRDefault="00533E5B" w:rsidP="009A25D8"/>
    <w:p w14:paraId="46D68B94" w14:textId="390AF3F4" w:rsidR="00533E5B" w:rsidRDefault="00533E5B" w:rsidP="009A25D8"/>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533E5B" w:rsidRPr="007F0350" w14:paraId="09DC5EAB" w14:textId="77777777" w:rsidTr="00B165C4">
        <w:tc>
          <w:tcPr>
            <w:tcW w:w="9016" w:type="dxa"/>
            <w:shd w:val="clear" w:color="auto" w:fill="EFDFF5"/>
            <w:tcMar>
              <w:top w:w="57" w:type="dxa"/>
              <w:bottom w:w="57" w:type="dxa"/>
            </w:tcMar>
            <w:vAlign w:val="center"/>
          </w:tcPr>
          <w:p w14:paraId="2A57EAED" w14:textId="77777777" w:rsidR="00533E5B" w:rsidRPr="0087609D" w:rsidRDefault="00533E5B" w:rsidP="00B165C4">
            <w:pPr>
              <w:pStyle w:val="Boldstatement"/>
              <w:spacing w:before="20" w:after="20"/>
              <w:rPr>
                <w:sz w:val="24"/>
              </w:rPr>
            </w:pPr>
            <w:r w:rsidRPr="004A4BFE">
              <w:rPr>
                <w:sz w:val="24"/>
              </w:rPr>
              <w:t>Guide to taught content</w:t>
            </w:r>
          </w:p>
        </w:tc>
      </w:tr>
      <w:tr w:rsidR="00533E5B" w14:paraId="3813082C" w14:textId="77777777" w:rsidTr="00B165C4">
        <w:tc>
          <w:tcPr>
            <w:tcW w:w="9016" w:type="dxa"/>
            <w:tcMar>
              <w:top w:w="57" w:type="dxa"/>
              <w:bottom w:w="57" w:type="dxa"/>
            </w:tcMar>
          </w:tcPr>
          <w:p w14:paraId="66286E0E" w14:textId="08412339" w:rsidR="00533E5B" w:rsidRDefault="00533E5B" w:rsidP="00B165C4">
            <w:r w:rsidRPr="004A4BFE">
              <w:t>The content contained within the unit specification is not prescriptive or exhaustive but is intended to provide helpful guidance to teachers and learners</w:t>
            </w:r>
            <w:r w:rsidR="00BA213B">
              <w:t>,</w:t>
            </w:r>
            <w:r w:rsidRPr="004A4BFE">
              <w:t xml:space="preserve"> with the key areas that </w:t>
            </w:r>
            <w:r>
              <w:t>will be covered within the unit and</w:t>
            </w:r>
            <w:r w:rsidRPr="004A4BFE">
              <w:t xml:space="preserve"> relating to the kinds of evidence that should be provided for each assessment objective specific to the unit learning outcomes.</w:t>
            </w:r>
          </w:p>
        </w:tc>
      </w:tr>
    </w:tbl>
    <w:p w14:paraId="7A4E941E" w14:textId="77777777" w:rsidR="00C35465" w:rsidRDefault="00C35465" w:rsidP="00C35465">
      <w:pPr>
        <w:pStyle w:val="Heading1"/>
      </w:pPr>
      <w:r>
        <w:lastRenderedPageBreak/>
        <w:t>Assessment methods</w:t>
      </w:r>
    </w:p>
    <w:p w14:paraId="10CA20C6" w14:textId="77777777" w:rsidR="00115264" w:rsidRPr="00867BE6" w:rsidRDefault="00115264" w:rsidP="00115264">
      <w:pPr>
        <w:rPr>
          <w:b/>
          <w:color w:val="702F8A"/>
        </w:rPr>
      </w:pPr>
      <w:r w:rsidRPr="00867BE6">
        <w:rPr>
          <w:b/>
          <w:color w:val="702F8A"/>
        </w:rPr>
        <w:t>Formative clinical case studies</w:t>
      </w:r>
    </w:p>
    <w:p w14:paraId="355804BA" w14:textId="77777777" w:rsidR="00115264" w:rsidRDefault="00115264" w:rsidP="00115264">
      <w:r>
        <w:t>Externally set, internally marked and externally quality assured.</w:t>
      </w:r>
    </w:p>
    <w:p w14:paraId="0CBA2146" w14:textId="026A3A1B" w:rsidR="00115264" w:rsidRDefault="00115264" w:rsidP="00115264">
      <w:pPr>
        <w:rPr>
          <w:rFonts w:cstheme="minorHAnsi"/>
        </w:rPr>
      </w:pPr>
      <w:r w:rsidRPr="00DA6D36">
        <w:rPr>
          <w:rFonts w:cstheme="minorHAnsi"/>
        </w:rPr>
        <w:t xml:space="preserve">The case studies contribute to the assessment outcome </w:t>
      </w:r>
      <w:r w:rsidR="00367638">
        <w:rPr>
          <w:rFonts w:cstheme="minorHAnsi"/>
        </w:rPr>
        <w:t xml:space="preserve">of the qualification. This is an </w:t>
      </w:r>
      <w:r w:rsidRPr="00DA6D36">
        <w:rPr>
          <w:rFonts w:cstheme="minorHAnsi"/>
        </w:rPr>
        <w:t xml:space="preserve">evidence requirement which </w:t>
      </w:r>
      <w:r w:rsidRPr="00E63DCC">
        <w:rPr>
          <w:rFonts w:cstheme="minorHAnsi"/>
        </w:rPr>
        <w:t>must be completed prior to learners undertaking the</w:t>
      </w:r>
      <w:r>
        <w:rPr>
          <w:rFonts w:cstheme="minorHAnsi"/>
        </w:rPr>
        <w:t xml:space="preserve"> final practical assessment</w:t>
      </w:r>
    </w:p>
    <w:p w14:paraId="5B9B3BC4" w14:textId="77777777" w:rsidR="00115264" w:rsidRPr="00115264" w:rsidRDefault="00115264" w:rsidP="00115264">
      <w:pPr>
        <w:pStyle w:val="Bullet"/>
      </w:pPr>
      <w:r w:rsidRPr="00115264">
        <w:t>A minimum of 10 observations of botulinum toxin procedures*</w:t>
      </w:r>
    </w:p>
    <w:p w14:paraId="4C8A65CD" w14:textId="77777777" w:rsidR="00115264" w:rsidRPr="00115264" w:rsidRDefault="00115264" w:rsidP="00115264">
      <w:pPr>
        <w:pStyle w:val="Bullet"/>
      </w:pPr>
      <w:r w:rsidRPr="00115264">
        <w:t>A minimum of 10 supervised botulinum toxin procedures**</w:t>
      </w:r>
    </w:p>
    <w:p w14:paraId="3015DD06" w14:textId="77777777" w:rsidR="00E56919" w:rsidRDefault="00E56919" w:rsidP="00115264">
      <w:pPr>
        <w:spacing w:after="0"/>
      </w:pPr>
    </w:p>
    <w:p w14:paraId="14BE841D" w14:textId="77777777" w:rsidR="00115264" w:rsidRDefault="00115264" w:rsidP="00115264">
      <w:pPr>
        <w:spacing w:after="0"/>
      </w:pPr>
      <w:r>
        <w:t xml:space="preserve">*Observed procedures can be completed on a 1:10 ratio. No more than 10 learners per observation. </w:t>
      </w:r>
    </w:p>
    <w:p w14:paraId="6BDF0268" w14:textId="77777777" w:rsidR="00115264" w:rsidRPr="00867BE6" w:rsidRDefault="00115264" w:rsidP="00115264">
      <w:r>
        <w:t>**Supervised procedures must be completed on a ratio of 1:1</w:t>
      </w:r>
    </w:p>
    <w:p w14:paraId="573C2931" w14:textId="2D112E5B" w:rsidR="00115264" w:rsidRPr="00B70A5E" w:rsidRDefault="00115264" w:rsidP="00115264">
      <w:pPr>
        <w:rPr>
          <w:b/>
        </w:rPr>
      </w:pPr>
      <w:r w:rsidRPr="00867BE6">
        <w:rPr>
          <w:b/>
          <w:color w:val="702F8A"/>
        </w:rPr>
        <w:t>Summative external objective examination</w:t>
      </w:r>
      <w:r w:rsidR="00321966">
        <w:rPr>
          <w:b/>
          <w:color w:val="702F8A"/>
        </w:rPr>
        <w:t xml:space="preserve"> </w:t>
      </w:r>
      <w:r w:rsidR="00321966" w:rsidRPr="00321966">
        <w:rPr>
          <w:b/>
          <w:color w:val="702F8A"/>
        </w:rPr>
        <w:t>(MA7D1.EX1)</w:t>
      </w:r>
      <w:r w:rsidRPr="00B70A5E">
        <w:rPr>
          <w:b/>
        </w:rPr>
        <w:t xml:space="preserve"> </w:t>
      </w:r>
      <w:r w:rsidR="00321966">
        <w:rPr>
          <w:b/>
        </w:rPr>
        <w:t xml:space="preserve"> </w:t>
      </w:r>
    </w:p>
    <w:p w14:paraId="3A052C38" w14:textId="77777777" w:rsidR="00115264" w:rsidRPr="00056D73" w:rsidRDefault="00115264" w:rsidP="00115264">
      <w:r w:rsidRPr="00056D73">
        <w:t xml:space="preserve">Externally set and externally marked examination. </w:t>
      </w:r>
    </w:p>
    <w:p w14:paraId="737E3E00" w14:textId="77777777" w:rsidR="00115264" w:rsidRDefault="00115264" w:rsidP="00115264">
      <w:pPr>
        <w:rPr>
          <w:rFonts w:cstheme="minorHAnsi"/>
        </w:rPr>
      </w:pPr>
      <w:r w:rsidRPr="00056D73">
        <w:t xml:space="preserve">The examination assesses knowledge and understanding from the breadth of the content within </w:t>
      </w:r>
      <w:r>
        <w:t>this unit.</w:t>
      </w:r>
      <w:r w:rsidRPr="00DA6D36">
        <w:rPr>
          <w:rFonts w:cstheme="minorHAnsi"/>
        </w:rPr>
        <w:t xml:space="preserve"> The </w:t>
      </w:r>
      <w:r>
        <w:rPr>
          <w:rFonts w:cstheme="minorHAnsi"/>
        </w:rPr>
        <w:t>external objective examination</w:t>
      </w:r>
      <w:r w:rsidRPr="00DA6D36">
        <w:rPr>
          <w:rFonts w:cstheme="minorHAnsi"/>
        </w:rPr>
        <w:t xml:space="preserve"> contributes to the assessment outcome of the qualification. </w:t>
      </w:r>
      <w:r>
        <w:rPr>
          <w:rFonts w:cstheme="minorHAnsi"/>
        </w:rPr>
        <w:t xml:space="preserve">The external objective examination will take place at the end of the period of learning. </w:t>
      </w:r>
    </w:p>
    <w:p w14:paraId="4D1D8826" w14:textId="3B5673E8" w:rsidR="00115264" w:rsidRDefault="00115264" w:rsidP="00115264">
      <w:pPr>
        <w:rPr>
          <w:b/>
        </w:rPr>
      </w:pPr>
      <w:r w:rsidRPr="00867BE6">
        <w:rPr>
          <w:b/>
          <w:color w:val="702F8A"/>
        </w:rPr>
        <w:t>Summative final practical assessment</w:t>
      </w:r>
      <w:r w:rsidR="00321966">
        <w:rPr>
          <w:b/>
          <w:color w:val="702F8A"/>
        </w:rPr>
        <w:t xml:space="preserve"> </w:t>
      </w:r>
      <w:r w:rsidR="00321966" w:rsidRPr="00321966">
        <w:rPr>
          <w:b/>
          <w:color w:val="702F8A"/>
        </w:rPr>
        <w:t>(MA7D1.PE1)</w:t>
      </w:r>
    </w:p>
    <w:p w14:paraId="00FD0747" w14:textId="77777777" w:rsidR="00115264" w:rsidRDefault="00115264" w:rsidP="00115264">
      <w:r w:rsidRPr="00790B5D">
        <w:t xml:space="preserve">Externally set, </w:t>
      </w:r>
      <w:r>
        <w:t xml:space="preserve">internally marked and externally quality assured. </w:t>
      </w:r>
      <w:r w:rsidRPr="00790B5D">
        <w:t xml:space="preserve">Overarching </w:t>
      </w:r>
      <w:r>
        <w:t>assessments</w:t>
      </w:r>
      <w:r w:rsidRPr="00790B5D">
        <w:t xml:space="preserve"> that assesses the learner’s technical skills and abilities. </w:t>
      </w:r>
      <w:r w:rsidRPr="00DA6D36">
        <w:rPr>
          <w:rFonts w:cstheme="minorHAnsi"/>
        </w:rPr>
        <w:t xml:space="preserve">The </w:t>
      </w:r>
      <w:r>
        <w:rPr>
          <w:rFonts w:cstheme="minorHAnsi"/>
        </w:rPr>
        <w:t>final practical assessment</w:t>
      </w:r>
      <w:r w:rsidRPr="00DA6D36">
        <w:rPr>
          <w:rFonts w:cstheme="minorHAnsi"/>
        </w:rPr>
        <w:t xml:space="preserve"> contributes to the assessment outcome of the qualification. </w:t>
      </w:r>
      <w:r w:rsidRPr="00790B5D">
        <w:t xml:space="preserve">The practical </w:t>
      </w:r>
      <w:r>
        <w:t xml:space="preserve">assessment will take place on the final case study supervised procedure, at the </w:t>
      </w:r>
      <w:r w:rsidRPr="00790B5D">
        <w:t xml:space="preserve">end of the period of learning. </w:t>
      </w:r>
    </w:p>
    <w:p w14:paraId="060CF0BC" w14:textId="77777777" w:rsidR="00115264" w:rsidRDefault="00115264" w:rsidP="00115264">
      <w:r w:rsidRPr="00A11ED9">
        <w:t>Learners will be require</w:t>
      </w:r>
      <w:r>
        <w:t>d</w:t>
      </w:r>
      <w:r w:rsidRPr="00A11ED9">
        <w:t xml:space="preserve"> to undertake a practical </w:t>
      </w:r>
      <w:r>
        <w:t xml:space="preserve">assessment for the following procedures </w:t>
      </w:r>
    </w:p>
    <w:p w14:paraId="66900671" w14:textId="67B7424A" w:rsidR="00115264" w:rsidRPr="00115264" w:rsidRDefault="00115264" w:rsidP="00115264">
      <w:pPr>
        <w:pStyle w:val="Bullet"/>
      </w:pPr>
      <w:r w:rsidRPr="00115264">
        <w:t>1 ad</w:t>
      </w:r>
      <w:r w:rsidR="00367638">
        <w:t>ministration of botulinum toxin</w:t>
      </w:r>
    </w:p>
    <w:p w14:paraId="48E4CCF8" w14:textId="77777777" w:rsidR="00A87654" w:rsidRDefault="00A87654" w:rsidP="00115264"/>
    <w:p w14:paraId="4671D51D" w14:textId="77777777" w:rsidR="00A87654" w:rsidRDefault="00A87654">
      <w:pPr>
        <w:spacing w:line="259" w:lineRule="auto"/>
        <w:rPr>
          <w:rFonts w:eastAsiaTheme="majorEastAsia" w:cstheme="majorBidi"/>
          <w:sz w:val="52"/>
          <w:szCs w:val="32"/>
        </w:rPr>
      </w:pPr>
      <w:r>
        <w:br w:type="page"/>
      </w:r>
    </w:p>
    <w:p w14:paraId="467CC303" w14:textId="270A0516" w:rsidR="00A87654" w:rsidRPr="00F5322D" w:rsidRDefault="00A87654" w:rsidP="00A87654">
      <w:pPr>
        <w:pStyle w:val="Heading1"/>
      </w:pPr>
      <w:r w:rsidRPr="00F5322D">
        <w:lastRenderedPageBreak/>
        <w:t>Scope/range related to performance criteria</w:t>
      </w:r>
    </w:p>
    <w:p w14:paraId="3B5226A0" w14:textId="77777777" w:rsidR="00A87654" w:rsidRPr="00867BE6" w:rsidRDefault="00A87654" w:rsidP="00A87654">
      <w:pPr>
        <w:pStyle w:val="Boldstatement"/>
        <w:rPr>
          <w:color w:val="702F8A"/>
        </w:rPr>
      </w:pPr>
      <w:r w:rsidRPr="00867BE6">
        <w:rPr>
          <w:color w:val="702F8A"/>
        </w:rPr>
        <w:t>Gender</w:t>
      </w:r>
    </w:p>
    <w:p w14:paraId="59A0AE7A" w14:textId="77777777" w:rsidR="00A87654" w:rsidRPr="00867BE6" w:rsidRDefault="00A87654" w:rsidP="003C2984">
      <w:pPr>
        <w:pStyle w:val="ListParagraph"/>
        <w:numPr>
          <w:ilvl w:val="0"/>
          <w:numId w:val="39"/>
        </w:numPr>
        <w:ind w:left="357" w:hanging="357"/>
      </w:pPr>
      <w:r w:rsidRPr="00867BE6">
        <w:t>Male</w:t>
      </w:r>
    </w:p>
    <w:p w14:paraId="04525CCF" w14:textId="77777777" w:rsidR="00A87654" w:rsidRPr="00867BE6" w:rsidRDefault="00A87654" w:rsidP="003C2984">
      <w:pPr>
        <w:pStyle w:val="ListParagraph"/>
        <w:numPr>
          <w:ilvl w:val="0"/>
          <w:numId w:val="39"/>
        </w:numPr>
        <w:ind w:left="357" w:hanging="357"/>
      </w:pPr>
      <w:r w:rsidRPr="00867BE6">
        <w:t>Female</w:t>
      </w:r>
    </w:p>
    <w:p w14:paraId="66BF268C" w14:textId="77777777" w:rsidR="00A87654" w:rsidRPr="00951D98" w:rsidRDefault="00A87654" w:rsidP="00A87654">
      <w:pPr>
        <w:autoSpaceDE w:val="0"/>
        <w:autoSpaceDN w:val="0"/>
        <w:adjustRightInd w:val="0"/>
        <w:spacing w:after="0"/>
        <w:rPr>
          <w:rFonts w:cstheme="minorHAnsi"/>
          <w:b/>
          <w:bCs/>
          <w:color w:val="000000"/>
        </w:rPr>
      </w:pPr>
    </w:p>
    <w:p w14:paraId="4E36AF49" w14:textId="7BCBD35C" w:rsidR="00A87654" w:rsidRPr="00867BE6" w:rsidRDefault="00A87654" w:rsidP="00A87654">
      <w:pPr>
        <w:pStyle w:val="Boldstatement"/>
        <w:rPr>
          <w:color w:val="702F8A"/>
        </w:rPr>
      </w:pPr>
      <w:r w:rsidRPr="00A87654">
        <w:rPr>
          <w:color w:val="702F8A"/>
        </w:rPr>
        <w:t>Essential areas of treatment</w:t>
      </w:r>
    </w:p>
    <w:p w14:paraId="7497CFBF" w14:textId="3BB8C41E" w:rsidR="00A87654" w:rsidRDefault="00A87654" w:rsidP="003C2984">
      <w:pPr>
        <w:pStyle w:val="ListParagraph"/>
        <w:numPr>
          <w:ilvl w:val="0"/>
          <w:numId w:val="40"/>
        </w:numPr>
        <w:ind w:left="357" w:hanging="357"/>
      </w:pPr>
      <w:r>
        <w:t>Glabellar complex</w:t>
      </w:r>
    </w:p>
    <w:p w14:paraId="7F09B7E9" w14:textId="77777777" w:rsidR="00A87654" w:rsidRDefault="00A87654" w:rsidP="003C2984">
      <w:pPr>
        <w:pStyle w:val="ListParagraph"/>
        <w:numPr>
          <w:ilvl w:val="0"/>
          <w:numId w:val="40"/>
        </w:numPr>
        <w:ind w:left="357" w:hanging="357"/>
      </w:pPr>
      <w:r>
        <w:t>Frontalis</w:t>
      </w:r>
    </w:p>
    <w:p w14:paraId="7131F100" w14:textId="0A605CC4" w:rsidR="00A87654" w:rsidRPr="00951D98" w:rsidRDefault="00A87654" w:rsidP="003C2984">
      <w:pPr>
        <w:pStyle w:val="ListParagraph"/>
        <w:numPr>
          <w:ilvl w:val="0"/>
          <w:numId w:val="40"/>
        </w:numPr>
        <w:ind w:left="357" w:hanging="357"/>
      </w:pPr>
      <w:r>
        <w:t xml:space="preserve">Orbicularis </w:t>
      </w:r>
      <w:proofErr w:type="spellStart"/>
      <w:r>
        <w:t>occuli</w:t>
      </w:r>
      <w:proofErr w:type="spellEnd"/>
    </w:p>
    <w:p w14:paraId="23F775AD" w14:textId="77777777" w:rsidR="00A87654" w:rsidRDefault="00A87654" w:rsidP="00A87654">
      <w:pPr>
        <w:autoSpaceDE w:val="0"/>
        <w:autoSpaceDN w:val="0"/>
        <w:adjustRightInd w:val="0"/>
        <w:spacing w:after="0"/>
        <w:rPr>
          <w:rFonts w:cstheme="minorHAnsi"/>
          <w:bCs/>
          <w:color w:val="000000"/>
        </w:rPr>
      </w:pPr>
    </w:p>
    <w:p w14:paraId="676A3E3E" w14:textId="6439CA49" w:rsidR="00A87654" w:rsidRPr="00867BE6" w:rsidRDefault="00A87654" w:rsidP="00A87654">
      <w:pPr>
        <w:pStyle w:val="Boldstatement"/>
        <w:rPr>
          <w:color w:val="702F8A"/>
        </w:rPr>
      </w:pPr>
      <w:r w:rsidRPr="00A87654">
        <w:rPr>
          <w:color w:val="702F8A"/>
        </w:rPr>
        <w:t>Desirable areas of treatment</w:t>
      </w:r>
    </w:p>
    <w:p w14:paraId="5CF70E9F" w14:textId="17C51CEC" w:rsidR="00A87654" w:rsidRPr="00951D98" w:rsidRDefault="00A87654" w:rsidP="003C2984">
      <w:pPr>
        <w:pStyle w:val="ListParagraph"/>
        <w:numPr>
          <w:ilvl w:val="0"/>
          <w:numId w:val="41"/>
        </w:numPr>
        <w:ind w:left="357" w:hanging="357"/>
      </w:pPr>
      <w:r w:rsidRPr="00A87654">
        <w:t>Compensatory mechanisms for lifting or lowering eyebrow</w:t>
      </w:r>
    </w:p>
    <w:p w14:paraId="0CF8C52D" w14:textId="77777777" w:rsidR="00A87654" w:rsidRPr="00951D98" w:rsidRDefault="00A87654" w:rsidP="00A87654">
      <w:pPr>
        <w:autoSpaceDE w:val="0"/>
        <w:autoSpaceDN w:val="0"/>
        <w:adjustRightInd w:val="0"/>
        <w:spacing w:after="0"/>
        <w:rPr>
          <w:rFonts w:cstheme="minorHAnsi"/>
          <w:color w:val="000000"/>
        </w:rPr>
      </w:pPr>
    </w:p>
    <w:p w14:paraId="3EB119E7" w14:textId="3CF7D9D6" w:rsidR="00A87654" w:rsidRPr="00867BE6" w:rsidRDefault="00A87654" w:rsidP="00A87654">
      <w:pPr>
        <w:pStyle w:val="Boldstatement"/>
        <w:rPr>
          <w:color w:val="702F8A"/>
        </w:rPr>
      </w:pPr>
      <w:r>
        <w:rPr>
          <w:color w:val="702F8A"/>
        </w:rPr>
        <w:t>Techniques</w:t>
      </w:r>
    </w:p>
    <w:p w14:paraId="685C104D" w14:textId="77777777" w:rsidR="00A87654" w:rsidRDefault="00A87654" w:rsidP="003C2984">
      <w:pPr>
        <w:pStyle w:val="ListParagraph"/>
        <w:numPr>
          <w:ilvl w:val="0"/>
          <w:numId w:val="42"/>
        </w:numPr>
        <w:ind w:left="357" w:hanging="357"/>
      </w:pPr>
      <w:r>
        <w:t>Intradermal (blanching)</w:t>
      </w:r>
    </w:p>
    <w:p w14:paraId="2EEA5109" w14:textId="77777777" w:rsidR="00A87654" w:rsidRDefault="00A87654" w:rsidP="003C2984">
      <w:pPr>
        <w:pStyle w:val="ListParagraph"/>
        <w:numPr>
          <w:ilvl w:val="0"/>
          <w:numId w:val="42"/>
        </w:numPr>
        <w:ind w:left="357" w:hanging="357"/>
      </w:pPr>
      <w:r>
        <w:t>Subdermal</w:t>
      </w:r>
    </w:p>
    <w:p w14:paraId="2509F1DE" w14:textId="37B463C2" w:rsidR="00A87654" w:rsidRPr="00951D98" w:rsidRDefault="00E56919" w:rsidP="003C2984">
      <w:pPr>
        <w:pStyle w:val="ListParagraph"/>
        <w:numPr>
          <w:ilvl w:val="0"/>
          <w:numId w:val="42"/>
        </w:numPr>
        <w:ind w:left="357" w:hanging="357"/>
      </w:pPr>
      <w:r>
        <w:t>I</w:t>
      </w:r>
      <w:r w:rsidR="00A87654">
        <w:t>ntramuscular</w:t>
      </w:r>
    </w:p>
    <w:p w14:paraId="0990A02D" w14:textId="77777777" w:rsidR="00A87654" w:rsidRDefault="00A87654" w:rsidP="00A87654">
      <w:pPr>
        <w:autoSpaceDE w:val="0"/>
        <w:autoSpaceDN w:val="0"/>
        <w:adjustRightInd w:val="0"/>
        <w:spacing w:after="0"/>
        <w:rPr>
          <w:rFonts w:cstheme="minorHAnsi"/>
        </w:rPr>
      </w:pPr>
    </w:p>
    <w:p w14:paraId="0C5D9F9D" w14:textId="5A3D18E9" w:rsidR="00A87654" w:rsidRPr="00867BE6" w:rsidRDefault="00A87654" w:rsidP="00A87654">
      <w:pPr>
        <w:pStyle w:val="Boldstatement"/>
        <w:rPr>
          <w:color w:val="702F8A"/>
        </w:rPr>
      </w:pPr>
      <w:r w:rsidRPr="00A87654">
        <w:rPr>
          <w:color w:val="702F8A"/>
        </w:rPr>
        <w:t>Assess presenting factors</w:t>
      </w:r>
    </w:p>
    <w:p w14:paraId="5C44A5E7" w14:textId="77777777" w:rsidR="00A87654" w:rsidRDefault="00A87654" w:rsidP="003C2984">
      <w:pPr>
        <w:pStyle w:val="ListParagraph"/>
        <w:numPr>
          <w:ilvl w:val="0"/>
          <w:numId w:val="43"/>
        </w:numPr>
        <w:ind w:left="357" w:hanging="357"/>
      </w:pPr>
      <w:r>
        <w:t>Facial shape</w:t>
      </w:r>
    </w:p>
    <w:p w14:paraId="6735F50E" w14:textId="506F6363" w:rsidR="00A87654" w:rsidRDefault="00A87654" w:rsidP="003C2984">
      <w:pPr>
        <w:pStyle w:val="ListParagraph"/>
        <w:numPr>
          <w:ilvl w:val="0"/>
          <w:numId w:val="43"/>
        </w:numPr>
        <w:ind w:left="357" w:hanging="357"/>
      </w:pPr>
      <w:r>
        <w:t xml:space="preserve">Upper, middle, lower face shape assessment </w:t>
      </w:r>
    </w:p>
    <w:p w14:paraId="1C06F846" w14:textId="195959A9" w:rsidR="00A87654" w:rsidRDefault="00A87654" w:rsidP="003C2984">
      <w:pPr>
        <w:pStyle w:val="ListParagraph"/>
        <w:numPr>
          <w:ilvl w:val="0"/>
          <w:numId w:val="43"/>
        </w:numPr>
        <w:ind w:left="357" w:hanging="357"/>
      </w:pPr>
      <w:r>
        <w:t>Whole face assessment</w:t>
      </w:r>
    </w:p>
    <w:p w14:paraId="526F5545" w14:textId="77777777" w:rsidR="00A87654" w:rsidRDefault="00A87654" w:rsidP="003C2984">
      <w:pPr>
        <w:pStyle w:val="ListParagraph"/>
        <w:numPr>
          <w:ilvl w:val="0"/>
          <w:numId w:val="43"/>
        </w:numPr>
        <w:ind w:left="357" w:hanging="357"/>
      </w:pPr>
      <w:r>
        <w:t>Patient goals/aims</w:t>
      </w:r>
    </w:p>
    <w:p w14:paraId="1427089E" w14:textId="4FF259FE" w:rsidR="00A87654" w:rsidRDefault="007A08A1" w:rsidP="003C2984">
      <w:pPr>
        <w:pStyle w:val="ListParagraph"/>
        <w:numPr>
          <w:ilvl w:val="0"/>
          <w:numId w:val="43"/>
        </w:numPr>
        <w:ind w:left="357" w:hanging="357"/>
      </w:pPr>
      <w:r>
        <w:t>Rhytids</w:t>
      </w:r>
      <w:r w:rsidR="00367638">
        <w:t>, for example s</w:t>
      </w:r>
      <w:r w:rsidR="00A87654">
        <w:t>tatic li</w:t>
      </w:r>
      <w:r w:rsidR="00367638">
        <w:t>nes, sleep lines, d</w:t>
      </w:r>
      <w:r>
        <w:t>ynamic lines</w:t>
      </w:r>
    </w:p>
    <w:p w14:paraId="388252FE" w14:textId="77777777" w:rsidR="00A87654" w:rsidRDefault="00A87654" w:rsidP="003C2984">
      <w:pPr>
        <w:pStyle w:val="ListParagraph"/>
        <w:numPr>
          <w:ilvl w:val="0"/>
          <w:numId w:val="43"/>
        </w:numPr>
        <w:ind w:left="357" w:hanging="357"/>
      </w:pPr>
      <w:r>
        <w:t xml:space="preserve">Skin thickness and elasticity </w:t>
      </w:r>
    </w:p>
    <w:p w14:paraId="7AB69996" w14:textId="77777777" w:rsidR="00A87654" w:rsidRDefault="00A87654" w:rsidP="003C2984">
      <w:pPr>
        <w:pStyle w:val="ListParagraph"/>
        <w:numPr>
          <w:ilvl w:val="0"/>
          <w:numId w:val="43"/>
        </w:numPr>
        <w:ind w:left="357" w:hanging="357"/>
      </w:pPr>
      <w:r>
        <w:t>Associated UV damage</w:t>
      </w:r>
    </w:p>
    <w:p w14:paraId="428C159E" w14:textId="4A2EFBFD" w:rsidR="00A87654" w:rsidRDefault="00A87654" w:rsidP="003C2984">
      <w:pPr>
        <w:pStyle w:val="ListParagraph"/>
        <w:numPr>
          <w:ilvl w:val="0"/>
          <w:numId w:val="43"/>
        </w:numPr>
        <w:ind w:left="357" w:hanging="357"/>
      </w:pPr>
      <w:r>
        <w:t>Impact on outcomes</w:t>
      </w:r>
    </w:p>
    <w:p w14:paraId="460ADCAD" w14:textId="77777777" w:rsidR="00A87654" w:rsidRDefault="00A87654" w:rsidP="00A87654">
      <w:pPr>
        <w:pStyle w:val="LO"/>
      </w:pPr>
    </w:p>
    <w:p w14:paraId="1DF8DDAD" w14:textId="638A0FC6" w:rsidR="00C35465" w:rsidRDefault="00C35465" w:rsidP="00A87654">
      <w:pPr>
        <w:pStyle w:val="Bullet"/>
        <w:numPr>
          <w:ilvl w:val="0"/>
          <w:numId w:val="0"/>
        </w:numPr>
        <w:ind w:left="357" w:hanging="357"/>
      </w:pPr>
      <w:r>
        <w:br w:type="page"/>
      </w:r>
    </w:p>
    <w:p w14:paraId="6F5CEEF1" w14:textId="77777777" w:rsidR="009F656D" w:rsidRPr="00C35465" w:rsidRDefault="009F656D" w:rsidP="00C35465">
      <w:pPr>
        <w:spacing w:line="259" w:lineRule="auto"/>
        <w:rPr>
          <w:rFonts w:eastAsiaTheme="majorEastAsia" w:cstheme="majorBidi"/>
          <w:sz w:val="52"/>
          <w:szCs w:val="32"/>
        </w:rPr>
      </w:pPr>
      <w:r>
        <w:rPr>
          <w:b/>
        </w:rPr>
        <w:lastRenderedPageBreak/>
        <w:t>Document History</w:t>
      </w:r>
    </w:p>
    <w:tbl>
      <w:tblPr>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914"/>
        <w:gridCol w:w="1278"/>
        <w:gridCol w:w="3614"/>
        <w:gridCol w:w="3210"/>
      </w:tblGrid>
      <w:tr w:rsidR="00B56FC0" w:rsidRPr="004A608D" w14:paraId="1464D509" w14:textId="77777777" w:rsidTr="00321966">
        <w:tc>
          <w:tcPr>
            <w:tcW w:w="507" w:type="pct"/>
            <w:tcBorders>
              <w:top w:val="single" w:sz="4" w:space="0" w:color="DDDDDD"/>
              <w:left w:val="single" w:sz="4" w:space="0" w:color="DDDDDD"/>
              <w:bottom w:val="single" w:sz="4" w:space="0" w:color="DDDDDD"/>
              <w:right w:val="single" w:sz="4" w:space="0" w:color="DDDDDD"/>
            </w:tcBorders>
            <w:shd w:val="clear" w:color="auto" w:fill="EFDFF5"/>
            <w:hideMark/>
          </w:tcPr>
          <w:p w14:paraId="5B477D20" w14:textId="77777777" w:rsidR="00B56FC0" w:rsidRPr="004A608D" w:rsidRDefault="00B56FC0" w:rsidP="00B50A54">
            <w:pPr>
              <w:spacing w:before="60" w:after="60"/>
              <w:rPr>
                <w:b/>
              </w:rPr>
            </w:pPr>
            <w:r w:rsidRPr="004A608D">
              <w:rPr>
                <w:b/>
              </w:rPr>
              <w:t>Version</w:t>
            </w:r>
          </w:p>
        </w:tc>
        <w:tc>
          <w:tcPr>
            <w:tcW w:w="709" w:type="pct"/>
            <w:tcBorders>
              <w:top w:val="single" w:sz="4" w:space="0" w:color="DDDDDD"/>
              <w:left w:val="single" w:sz="4" w:space="0" w:color="DDDDDD"/>
              <w:bottom w:val="single" w:sz="4" w:space="0" w:color="DDDDDD"/>
              <w:right w:val="single" w:sz="4" w:space="0" w:color="DDDDDD"/>
            </w:tcBorders>
            <w:shd w:val="clear" w:color="auto" w:fill="EFDFF5"/>
            <w:hideMark/>
          </w:tcPr>
          <w:p w14:paraId="60980BEA" w14:textId="77777777" w:rsidR="00B56FC0" w:rsidRPr="004A608D" w:rsidRDefault="00B56FC0" w:rsidP="00B50A54">
            <w:pPr>
              <w:spacing w:before="60" w:after="60"/>
              <w:rPr>
                <w:b/>
              </w:rPr>
            </w:pPr>
            <w:r w:rsidRPr="004A608D">
              <w:rPr>
                <w:b/>
              </w:rPr>
              <w:t>Issue Date</w:t>
            </w:r>
          </w:p>
        </w:tc>
        <w:tc>
          <w:tcPr>
            <w:tcW w:w="2004" w:type="pct"/>
            <w:tcBorders>
              <w:top w:val="single" w:sz="4" w:space="0" w:color="DDDDDD"/>
              <w:left w:val="single" w:sz="4" w:space="0" w:color="DDDDDD"/>
              <w:bottom w:val="single" w:sz="4" w:space="0" w:color="DDDDDD"/>
              <w:right w:val="single" w:sz="4" w:space="0" w:color="DDDDDD"/>
            </w:tcBorders>
            <w:shd w:val="clear" w:color="auto" w:fill="EFDFF5"/>
            <w:hideMark/>
          </w:tcPr>
          <w:p w14:paraId="440E014D" w14:textId="77777777" w:rsidR="00B56FC0" w:rsidRPr="004A608D" w:rsidRDefault="00B56FC0" w:rsidP="00B50A54">
            <w:pPr>
              <w:spacing w:before="60" w:after="60"/>
              <w:rPr>
                <w:b/>
              </w:rPr>
            </w:pPr>
            <w:r w:rsidRPr="004A608D">
              <w:rPr>
                <w:b/>
              </w:rPr>
              <w:t>Changes</w:t>
            </w:r>
          </w:p>
        </w:tc>
        <w:tc>
          <w:tcPr>
            <w:tcW w:w="1780" w:type="pct"/>
            <w:tcBorders>
              <w:top w:val="single" w:sz="4" w:space="0" w:color="DDDDDD"/>
              <w:left w:val="single" w:sz="4" w:space="0" w:color="DDDDDD"/>
              <w:bottom w:val="single" w:sz="4" w:space="0" w:color="DDDDDD"/>
              <w:right w:val="single" w:sz="4" w:space="0" w:color="DDDDDD"/>
            </w:tcBorders>
            <w:shd w:val="clear" w:color="auto" w:fill="EFDFF5"/>
          </w:tcPr>
          <w:p w14:paraId="6854B306" w14:textId="77777777" w:rsidR="00B56FC0" w:rsidRPr="004A608D" w:rsidRDefault="00B56FC0" w:rsidP="00B50A54">
            <w:pPr>
              <w:spacing w:before="60" w:after="60"/>
              <w:rPr>
                <w:b/>
              </w:rPr>
            </w:pPr>
            <w:r>
              <w:rPr>
                <w:b/>
              </w:rPr>
              <w:t>Role</w:t>
            </w:r>
          </w:p>
        </w:tc>
      </w:tr>
      <w:tr w:rsidR="00321966" w:rsidRPr="004A608D" w14:paraId="2DE8C024" w14:textId="77777777" w:rsidTr="00321966">
        <w:tc>
          <w:tcPr>
            <w:tcW w:w="507" w:type="pct"/>
            <w:tcBorders>
              <w:top w:val="single" w:sz="4" w:space="0" w:color="DDDDDD"/>
              <w:left w:val="single" w:sz="4" w:space="0" w:color="DDDDDD"/>
              <w:bottom w:val="single" w:sz="4" w:space="0" w:color="DDDDDD"/>
              <w:right w:val="single" w:sz="4" w:space="0" w:color="DDDDDD"/>
            </w:tcBorders>
          </w:tcPr>
          <w:p w14:paraId="7B4D644D" w14:textId="576E92C5" w:rsidR="00321966" w:rsidRPr="004A608D" w:rsidRDefault="00321966" w:rsidP="00321966">
            <w:pPr>
              <w:spacing w:before="60" w:after="60"/>
            </w:pPr>
            <w:r>
              <w:t>v1.0</w:t>
            </w:r>
          </w:p>
        </w:tc>
        <w:tc>
          <w:tcPr>
            <w:tcW w:w="709" w:type="pct"/>
            <w:tcBorders>
              <w:top w:val="single" w:sz="4" w:space="0" w:color="DDDDDD"/>
              <w:left w:val="single" w:sz="4" w:space="0" w:color="DDDDDD"/>
              <w:bottom w:val="single" w:sz="4" w:space="0" w:color="DDDDDD"/>
              <w:right w:val="single" w:sz="4" w:space="0" w:color="DDDDDD"/>
            </w:tcBorders>
          </w:tcPr>
          <w:p w14:paraId="630DDA5A" w14:textId="79BCA65F" w:rsidR="00321966" w:rsidRPr="004A608D" w:rsidRDefault="00321966" w:rsidP="00321966">
            <w:pPr>
              <w:spacing w:before="60" w:after="60"/>
            </w:pPr>
            <w:r>
              <w:t>14/07/2020</w:t>
            </w:r>
          </w:p>
        </w:tc>
        <w:tc>
          <w:tcPr>
            <w:tcW w:w="2004" w:type="pct"/>
            <w:tcBorders>
              <w:top w:val="single" w:sz="4" w:space="0" w:color="DDDDDD"/>
              <w:left w:val="single" w:sz="4" w:space="0" w:color="DDDDDD"/>
              <w:bottom w:val="single" w:sz="4" w:space="0" w:color="DDDDDD"/>
              <w:right w:val="single" w:sz="4" w:space="0" w:color="DDDDDD"/>
            </w:tcBorders>
          </w:tcPr>
          <w:p w14:paraId="257E9C9E" w14:textId="3448442A" w:rsidR="00321966" w:rsidRPr="004A608D" w:rsidRDefault="00321966" w:rsidP="00321966">
            <w:pPr>
              <w:spacing w:before="60" w:after="60"/>
            </w:pPr>
            <w:r>
              <w:t>First published</w:t>
            </w:r>
          </w:p>
        </w:tc>
        <w:tc>
          <w:tcPr>
            <w:tcW w:w="1780" w:type="pct"/>
            <w:tcBorders>
              <w:top w:val="single" w:sz="4" w:space="0" w:color="DDDDDD"/>
              <w:left w:val="single" w:sz="4" w:space="0" w:color="DDDDDD"/>
              <w:bottom w:val="single" w:sz="4" w:space="0" w:color="DDDDDD"/>
              <w:right w:val="single" w:sz="4" w:space="0" w:color="DDDDDD"/>
            </w:tcBorders>
          </w:tcPr>
          <w:p w14:paraId="054B1EC9" w14:textId="678932E3" w:rsidR="00321966" w:rsidRPr="004A608D" w:rsidRDefault="00321966" w:rsidP="00321966">
            <w:pPr>
              <w:spacing w:before="60" w:after="60"/>
            </w:pPr>
            <w:r>
              <w:t>Product and Regulation Manager</w:t>
            </w:r>
          </w:p>
        </w:tc>
      </w:tr>
      <w:tr w:rsidR="00321966" w:rsidRPr="004A608D" w14:paraId="435CAF09" w14:textId="77777777" w:rsidTr="00321966">
        <w:tc>
          <w:tcPr>
            <w:tcW w:w="507" w:type="pct"/>
            <w:tcBorders>
              <w:top w:val="single" w:sz="4" w:space="0" w:color="DDDDDD"/>
              <w:left w:val="single" w:sz="4" w:space="0" w:color="DDDDDD"/>
              <w:bottom w:val="single" w:sz="4" w:space="0" w:color="DDDDDD"/>
              <w:right w:val="single" w:sz="4" w:space="0" w:color="DDDDDD"/>
            </w:tcBorders>
          </w:tcPr>
          <w:p w14:paraId="551FE49E" w14:textId="37A0F552" w:rsidR="00321966" w:rsidRPr="004A608D" w:rsidRDefault="00321966" w:rsidP="00321966">
            <w:pPr>
              <w:spacing w:before="60" w:after="60"/>
            </w:pPr>
          </w:p>
        </w:tc>
        <w:tc>
          <w:tcPr>
            <w:tcW w:w="709" w:type="pct"/>
            <w:tcBorders>
              <w:top w:val="single" w:sz="4" w:space="0" w:color="DDDDDD"/>
              <w:left w:val="single" w:sz="4" w:space="0" w:color="DDDDDD"/>
              <w:bottom w:val="single" w:sz="4" w:space="0" w:color="DDDDDD"/>
              <w:right w:val="single" w:sz="4" w:space="0" w:color="DDDDDD"/>
            </w:tcBorders>
          </w:tcPr>
          <w:p w14:paraId="43925C70" w14:textId="77777777" w:rsidR="00321966" w:rsidRPr="004A608D" w:rsidRDefault="00321966" w:rsidP="00321966">
            <w:pPr>
              <w:spacing w:before="60" w:after="60"/>
            </w:pPr>
          </w:p>
        </w:tc>
        <w:tc>
          <w:tcPr>
            <w:tcW w:w="2004" w:type="pct"/>
            <w:tcBorders>
              <w:top w:val="single" w:sz="4" w:space="0" w:color="DDDDDD"/>
              <w:left w:val="single" w:sz="4" w:space="0" w:color="DDDDDD"/>
              <w:bottom w:val="single" w:sz="4" w:space="0" w:color="DDDDDD"/>
              <w:right w:val="single" w:sz="4" w:space="0" w:color="DDDDDD"/>
            </w:tcBorders>
          </w:tcPr>
          <w:p w14:paraId="60F102C3" w14:textId="7FA6A8A6" w:rsidR="00321966" w:rsidRPr="004A608D" w:rsidRDefault="00321966" w:rsidP="00321966">
            <w:pPr>
              <w:spacing w:before="60" w:after="60"/>
            </w:pPr>
          </w:p>
        </w:tc>
        <w:tc>
          <w:tcPr>
            <w:tcW w:w="1780" w:type="pct"/>
            <w:tcBorders>
              <w:top w:val="single" w:sz="4" w:space="0" w:color="DDDDDD"/>
              <w:left w:val="single" w:sz="4" w:space="0" w:color="DDDDDD"/>
              <w:bottom w:val="single" w:sz="4" w:space="0" w:color="DDDDDD"/>
              <w:right w:val="single" w:sz="4" w:space="0" w:color="DDDDDD"/>
            </w:tcBorders>
          </w:tcPr>
          <w:p w14:paraId="1903D706" w14:textId="396C0272" w:rsidR="00321966" w:rsidRPr="004A608D" w:rsidRDefault="00321966" w:rsidP="00321966">
            <w:pPr>
              <w:spacing w:before="60" w:after="60"/>
            </w:pPr>
          </w:p>
        </w:tc>
      </w:tr>
    </w:tbl>
    <w:p w14:paraId="55B3CC67" w14:textId="77777777" w:rsidR="004667A2" w:rsidRDefault="004667A2" w:rsidP="009F656D"/>
    <w:sectPr w:rsidR="004667A2" w:rsidSect="000D1D6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7D154" w14:textId="77777777" w:rsidR="00974037" w:rsidRDefault="00974037" w:rsidP="00735D34">
      <w:r>
        <w:separator/>
      </w:r>
    </w:p>
  </w:endnote>
  <w:endnote w:type="continuationSeparator" w:id="0">
    <w:p w14:paraId="44B08C79" w14:textId="77777777" w:rsidR="00974037" w:rsidRDefault="00974037" w:rsidP="00735D34">
      <w:r>
        <w:continuationSeparator/>
      </w:r>
    </w:p>
  </w:endnote>
  <w:endnote w:type="continuationNotice" w:id="1">
    <w:p w14:paraId="4A016F43" w14:textId="77777777" w:rsidR="00974037" w:rsidRDefault="009740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2C595" w14:textId="77777777" w:rsidR="00321966" w:rsidRDefault="00321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8985512"/>
      <w:docPartObj>
        <w:docPartGallery w:val="Page Numbers (Bottom of Page)"/>
        <w:docPartUnique/>
      </w:docPartObj>
    </w:sdtPr>
    <w:sdtEndPr/>
    <w:sdtContent>
      <w:sdt>
        <w:sdtPr>
          <w:id w:val="-1769616900"/>
          <w:docPartObj>
            <w:docPartGallery w:val="Page Numbers (Top of Page)"/>
            <w:docPartUnique/>
          </w:docPartObj>
        </w:sdtPr>
        <w:sdtEndPr/>
        <w:sdtContent>
          <w:p w14:paraId="2CD83604" w14:textId="6CD64798" w:rsidR="003B0CB6" w:rsidRDefault="00BA213B" w:rsidP="00C142C1">
            <w:pPr>
              <w:pStyle w:val="Footer"/>
            </w:pPr>
            <w:r>
              <w:t>UMA4 Unit specification_v1.</w:t>
            </w:r>
            <w:r w:rsidR="00321966">
              <w:t>7</w:t>
            </w:r>
            <w:r w:rsidR="003B0CB6">
              <w:t xml:space="preserve"> </w:t>
            </w:r>
            <w:r w:rsidR="003B0CB6">
              <w:tab/>
            </w:r>
            <w:r w:rsidR="003B0CB6">
              <w:tab/>
            </w:r>
            <w:r w:rsidR="003B0CB6" w:rsidRPr="005B5965">
              <w:t xml:space="preserve">Page </w:t>
            </w:r>
            <w:r w:rsidR="003B0CB6" w:rsidRPr="005B5965">
              <w:rPr>
                <w:sz w:val="24"/>
                <w:szCs w:val="24"/>
              </w:rPr>
              <w:fldChar w:fldCharType="begin"/>
            </w:r>
            <w:r w:rsidR="003B0CB6" w:rsidRPr="005B5965">
              <w:instrText xml:space="preserve"> PAGE </w:instrText>
            </w:r>
            <w:r w:rsidR="003B0CB6" w:rsidRPr="005B5965">
              <w:rPr>
                <w:sz w:val="24"/>
                <w:szCs w:val="24"/>
              </w:rPr>
              <w:fldChar w:fldCharType="separate"/>
            </w:r>
            <w:r w:rsidR="006F299F">
              <w:rPr>
                <w:noProof/>
              </w:rPr>
              <w:t>15</w:t>
            </w:r>
            <w:r w:rsidR="003B0CB6" w:rsidRPr="005B5965">
              <w:rPr>
                <w:sz w:val="24"/>
                <w:szCs w:val="24"/>
              </w:rPr>
              <w:fldChar w:fldCharType="end"/>
            </w:r>
            <w:r w:rsidR="003B0CB6" w:rsidRPr="005B5965">
              <w:t xml:space="preserve"> of </w:t>
            </w:r>
            <w:r w:rsidR="003B0CB6">
              <w:rPr>
                <w:noProof/>
              </w:rPr>
              <w:fldChar w:fldCharType="begin"/>
            </w:r>
            <w:r w:rsidR="003B0CB6">
              <w:rPr>
                <w:noProof/>
              </w:rPr>
              <w:instrText xml:space="preserve"> NUMPAGES  </w:instrText>
            </w:r>
            <w:r w:rsidR="003B0CB6">
              <w:rPr>
                <w:noProof/>
              </w:rPr>
              <w:fldChar w:fldCharType="separate"/>
            </w:r>
            <w:r w:rsidR="006F299F">
              <w:rPr>
                <w:noProof/>
              </w:rPr>
              <w:t>15</w:t>
            </w:r>
            <w:r w:rsidR="003B0CB6">
              <w:rPr>
                <w:noProof/>
              </w:rPr>
              <w:fldChar w:fldCharType="end"/>
            </w:r>
          </w:p>
        </w:sdtContent>
      </w:sdt>
    </w:sdtContent>
  </w:sdt>
  <w:p w14:paraId="7D9D0D78" w14:textId="77777777" w:rsidR="003B0CB6" w:rsidRDefault="003B0CB6" w:rsidP="00735D34">
    <w:pPr>
      <w:pStyle w:val="Footer"/>
    </w:pPr>
    <w:r w:rsidRPr="009E5A05">
      <w:t>If printed this document becomes uncontrolled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A96AF" w14:textId="77777777" w:rsidR="00321966" w:rsidRDefault="00321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A8E96" w14:textId="77777777" w:rsidR="00974037" w:rsidRDefault="00974037" w:rsidP="00735D34">
      <w:r>
        <w:separator/>
      </w:r>
    </w:p>
  </w:footnote>
  <w:footnote w:type="continuationSeparator" w:id="0">
    <w:p w14:paraId="72BA692D" w14:textId="77777777" w:rsidR="00974037" w:rsidRDefault="00974037" w:rsidP="00735D34">
      <w:r>
        <w:continuationSeparator/>
      </w:r>
    </w:p>
  </w:footnote>
  <w:footnote w:type="continuationNotice" w:id="1">
    <w:p w14:paraId="699FF2C3" w14:textId="77777777" w:rsidR="00974037" w:rsidRDefault="009740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EDE29" w14:textId="77777777" w:rsidR="00321966" w:rsidRDefault="00321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187AE" w14:textId="77777777" w:rsidR="00321966" w:rsidRDefault="00321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EFD75" w14:textId="77777777" w:rsidR="00321966" w:rsidRDefault="00321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83BE9"/>
    <w:multiLevelType w:val="hybridMultilevel"/>
    <w:tmpl w:val="174C1756"/>
    <w:lvl w:ilvl="0" w:tplc="5240F712">
      <w:start w:val="1"/>
      <w:numFmt w:val="decimal"/>
      <w:pStyle w:val="numberheading"/>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0B2B1439"/>
    <w:multiLevelType w:val="hybridMultilevel"/>
    <w:tmpl w:val="46E29EDE"/>
    <w:lvl w:ilvl="0" w:tplc="147C4A64">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A3D22"/>
    <w:multiLevelType w:val="hybridMultilevel"/>
    <w:tmpl w:val="ED9CF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0049F"/>
    <w:multiLevelType w:val="hybridMultilevel"/>
    <w:tmpl w:val="D2709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327D2"/>
    <w:multiLevelType w:val="hybridMultilevel"/>
    <w:tmpl w:val="9FE8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D7570"/>
    <w:multiLevelType w:val="hybridMultilevel"/>
    <w:tmpl w:val="2028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729E2"/>
    <w:multiLevelType w:val="hybridMultilevel"/>
    <w:tmpl w:val="03D8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E029B"/>
    <w:multiLevelType w:val="hybridMultilevel"/>
    <w:tmpl w:val="22CA0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42DC1"/>
    <w:multiLevelType w:val="hybridMultilevel"/>
    <w:tmpl w:val="DE4C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56744"/>
    <w:multiLevelType w:val="hybridMultilevel"/>
    <w:tmpl w:val="035A0574"/>
    <w:lvl w:ilvl="0" w:tplc="AD448D14">
      <w:start w:val="1"/>
      <w:numFmt w:val="bullet"/>
      <w:pStyle w:val="Bulletedtex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5F56E2"/>
    <w:multiLevelType w:val="hybridMultilevel"/>
    <w:tmpl w:val="D91E14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FC364B"/>
    <w:multiLevelType w:val="multilevel"/>
    <w:tmpl w:val="2338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52767"/>
    <w:multiLevelType w:val="hybridMultilevel"/>
    <w:tmpl w:val="A97C81D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823EEB"/>
    <w:multiLevelType w:val="hybridMultilevel"/>
    <w:tmpl w:val="12C8C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EC2A32"/>
    <w:multiLevelType w:val="hybridMultilevel"/>
    <w:tmpl w:val="D0A8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2916C7"/>
    <w:multiLevelType w:val="hybridMultilevel"/>
    <w:tmpl w:val="035095C8"/>
    <w:lvl w:ilvl="0" w:tplc="C6FEBB9E">
      <w:numFmt w:val="bullet"/>
      <w:lvlText w:val="-"/>
      <w:lvlJc w:val="left"/>
      <w:pPr>
        <w:ind w:left="1778" w:hanging="360"/>
      </w:pPr>
      <w:rPr>
        <w:rFonts w:ascii="Arial" w:eastAsia="Calibri" w:hAnsi="Arial" w:cs="Aria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6" w15:restartNumberingAfterBreak="0">
    <w:nsid w:val="35B17412"/>
    <w:multiLevelType w:val="hybridMultilevel"/>
    <w:tmpl w:val="4376599A"/>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84717B"/>
    <w:multiLevelType w:val="hybridMultilevel"/>
    <w:tmpl w:val="BD8C4F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572A23"/>
    <w:multiLevelType w:val="hybridMultilevel"/>
    <w:tmpl w:val="EA1E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C373A3"/>
    <w:multiLevelType w:val="hybridMultilevel"/>
    <w:tmpl w:val="F472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5863BD"/>
    <w:multiLevelType w:val="hybridMultilevel"/>
    <w:tmpl w:val="70ACE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D627C3"/>
    <w:multiLevelType w:val="hybridMultilevel"/>
    <w:tmpl w:val="8C0E8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A81F22"/>
    <w:multiLevelType w:val="hybridMultilevel"/>
    <w:tmpl w:val="4726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8369D9"/>
    <w:multiLevelType w:val="hybridMultilevel"/>
    <w:tmpl w:val="EEC45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7729C2"/>
    <w:multiLevelType w:val="hybridMultilevel"/>
    <w:tmpl w:val="885A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DA4D5F"/>
    <w:multiLevelType w:val="hybridMultilevel"/>
    <w:tmpl w:val="0298BD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83100F"/>
    <w:multiLevelType w:val="hybridMultilevel"/>
    <w:tmpl w:val="8C0E8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1042A1"/>
    <w:multiLevelType w:val="hybridMultilevel"/>
    <w:tmpl w:val="42621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397222"/>
    <w:multiLevelType w:val="hybridMultilevel"/>
    <w:tmpl w:val="9726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F06298"/>
    <w:multiLevelType w:val="hybridMultilevel"/>
    <w:tmpl w:val="9188A0E8"/>
    <w:lvl w:ilvl="0" w:tplc="A476D3CC">
      <w:start w:val="1"/>
      <w:numFmt w:val="bullet"/>
      <w:pStyle w:val="Bullet2"/>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8A55883"/>
    <w:multiLevelType w:val="hybridMultilevel"/>
    <w:tmpl w:val="D89E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B63852"/>
    <w:multiLevelType w:val="hybridMultilevel"/>
    <w:tmpl w:val="BD8C4F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4B0B96"/>
    <w:multiLevelType w:val="hybridMultilevel"/>
    <w:tmpl w:val="608E8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773C28"/>
    <w:multiLevelType w:val="hybridMultilevel"/>
    <w:tmpl w:val="1D2439A8"/>
    <w:lvl w:ilvl="0" w:tplc="B9BCF37C">
      <w:start w:val="1"/>
      <w:numFmt w:val="bullet"/>
      <w:pStyle w:val="Bullet1"/>
      <w:lvlText w:val=""/>
      <w:lvlJc w:val="left"/>
      <w:pPr>
        <w:ind w:left="360" w:hanging="360"/>
      </w:pPr>
      <w:rPr>
        <w:rFonts w:ascii="Symbol" w:hAnsi="Symbol" w:hint="default"/>
      </w:rPr>
    </w:lvl>
    <w:lvl w:ilvl="1" w:tplc="5E844BD2">
      <w:numFmt w:val="bullet"/>
      <w:pStyle w:val="NoSpacing"/>
      <w:lvlText w:val="-"/>
      <w:lvlJc w:val="left"/>
      <w:pPr>
        <w:ind w:left="1778"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D041DC"/>
    <w:multiLevelType w:val="hybridMultilevel"/>
    <w:tmpl w:val="C79EA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DB6B26"/>
    <w:multiLevelType w:val="hybridMultilevel"/>
    <w:tmpl w:val="D7D00538"/>
    <w:lvl w:ilvl="0" w:tplc="5E4635A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CB6C7B"/>
    <w:multiLevelType w:val="multilevel"/>
    <w:tmpl w:val="FA2A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337E1B"/>
    <w:multiLevelType w:val="hybridMultilevel"/>
    <w:tmpl w:val="6ECC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CA478A"/>
    <w:multiLevelType w:val="hybridMultilevel"/>
    <w:tmpl w:val="53DC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7458DF"/>
    <w:multiLevelType w:val="hybridMultilevel"/>
    <w:tmpl w:val="5F78FA68"/>
    <w:lvl w:ilvl="0" w:tplc="8BB8A7BA">
      <w:start w:val="1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F42E3"/>
    <w:multiLevelType w:val="hybridMultilevel"/>
    <w:tmpl w:val="858E2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FF74EE"/>
    <w:multiLevelType w:val="hybridMultilevel"/>
    <w:tmpl w:val="656C4096"/>
    <w:lvl w:ilvl="0" w:tplc="D16CBD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0"/>
  </w:num>
  <w:num w:numId="5">
    <w:abstractNumId w:val="29"/>
  </w:num>
  <w:num w:numId="6">
    <w:abstractNumId w:val="33"/>
  </w:num>
  <w:num w:numId="7">
    <w:abstractNumId w:val="15"/>
  </w:num>
  <w:num w:numId="8">
    <w:abstractNumId w:val="6"/>
  </w:num>
  <w:num w:numId="9">
    <w:abstractNumId w:val="37"/>
  </w:num>
  <w:num w:numId="10">
    <w:abstractNumId w:val="34"/>
  </w:num>
  <w:num w:numId="11">
    <w:abstractNumId w:val="18"/>
  </w:num>
  <w:num w:numId="12">
    <w:abstractNumId w:val="20"/>
  </w:num>
  <w:num w:numId="13">
    <w:abstractNumId w:val="35"/>
  </w:num>
  <w:num w:numId="14">
    <w:abstractNumId w:val="4"/>
  </w:num>
  <w:num w:numId="15">
    <w:abstractNumId w:val="22"/>
  </w:num>
  <w:num w:numId="16">
    <w:abstractNumId w:val="41"/>
  </w:num>
  <w:num w:numId="17">
    <w:abstractNumId w:val="27"/>
  </w:num>
  <w:num w:numId="18">
    <w:abstractNumId w:val="3"/>
  </w:num>
  <w:num w:numId="19">
    <w:abstractNumId w:val="30"/>
  </w:num>
  <w:num w:numId="20">
    <w:abstractNumId w:val="24"/>
  </w:num>
  <w:num w:numId="21">
    <w:abstractNumId w:val="28"/>
  </w:num>
  <w:num w:numId="22">
    <w:abstractNumId w:val="38"/>
  </w:num>
  <w:num w:numId="23">
    <w:abstractNumId w:val="2"/>
  </w:num>
  <w:num w:numId="24">
    <w:abstractNumId w:val="19"/>
  </w:num>
  <w:num w:numId="25">
    <w:abstractNumId w:val="5"/>
  </w:num>
  <w:num w:numId="26">
    <w:abstractNumId w:val="8"/>
  </w:num>
  <w:num w:numId="27">
    <w:abstractNumId w:val="7"/>
  </w:num>
  <w:num w:numId="28">
    <w:abstractNumId w:val="32"/>
  </w:num>
  <w:num w:numId="29">
    <w:abstractNumId w:val="39"/>
  </w:num>
  <w:num w:numId="30">
    <w:abstractNumId w:val="14"/>
  </w:num>
  <w:num w:numId="31">
    <w:abstractNumId w:val="11"/>
  </w:num>
  <w:num w:numId="32">
    <w:abstractNumId w:val="36"/>
  </w:num>
  <w:num w:numId="33">
    <w:abstractNumId w:val="31"/>
  </w:num>
  <w:num w:numId="34">
    <w:abstractNumId w:val="12"/>
  </w:num>
  <w:num w:numId="35">
    <w:abstractNumId w:val="25"/>
  </w:num>
  <w:num w:numId="36">
    <w:abstractNumId w:val="16"/>
  </w:num>
  <w:num w:numId="37">
    <w:abstractNumId w:val="1"/>
  </w:num>
  <w:num w:numId="38">
    <w:abstractNumId w:val="17"/>
  </w:num>
  <w:num w:numId="39">
    <w:abstractNumId w:val="23"/>
  </w:num>
  <w:num w:numId="40">
    <w:abstractNumId w:val="13"/>
  </w:num>
  <w:num w:numId="41">
    <w:abstractNumId w:val="21"/>
  </w:num>
  <w:num w:numId="42">
    <w:abstractNumId w:val="26"/>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2MDIyM7O0NLa0MDFX0lEKTi0uzszPAykwtKgFAA79CTgtAAAA"/>
  </w:docVars>
  <w:rsids>
    <w:rsidRoot w:val="00B74EED"/>
    <w:rsid w:val="00003257"/>
    <w:rsid w:val="00003D29"/>
    <w:rsid w:val="00023F1B"/>
    <w:rsid w:val="000252A3"/>
    <w:rsid w:val="00035533"/>
    <w:rsid w:val="00044052"/>
    <w:rsid w:val="00045FDE"/>
    <w:rsid w:val="00046FD1"/>
    <w:rsid w:val="000543D3"/>
    <w:rsid w:val="000554A7"/>
    <w:rsid w:val="000573DE"/>
    <w:rsid w:val="00063CAC"/>
    <w:rsid w:val="00071CED"/>
    <w:rsid w:val="000730CF"/>
    <w:rsid w:val="000743C8"/>
    <w:rsid w:val="000746B7"/>
    <w:rsid w:val="00085E04"/>
    <w:rsid w:val="00087FB6"/>
    <w:rsid w:val="000A5C94"/>
    <w:rsid w:val="000B1A0F"/>
    <w:rsid w:val="000B4CE9"/>
    <w:rsid w:val="000C7017"/>
    <w:rsid w:val="000D10B1"/>
    <w:rsid w:val="000D1D6D"/>
    <w:rsid w:val="000D5CF6"/>
    <w:rsid w:val="000D6CA9"/>
    <w:rsid w:val="000E6C05"/>
    <w:rsid w:val="000F04BC"/>
    <w:rsid w:val="00101E5A"/>
    <w:rsid w:val="00115264"/>
    <w:rsid w:val="00133D1D"/>
    <w:rsid w:val="00135BA6"/>
    <w:rsid w:val="00143DC0"/>
    <w:rsid w:val="00146678"/>
    <w:rsid w:val="001607B2"/>
    <w:rsid w:val="00161E31"/>
    <w:rsid w:val="00172D8C"/>
    <w:rsid w:val="0017350C"/>
    <w:rsid w:val="00180683"/>
    <w:rsid w:val="0018288A"/>
    <w:rsid w:val="0019113A"/>
    <w:rsid w:val="0019114B"/>
    <w:rsid w:val="00192DF6"/>
    <w:rsid w:val="00195B44"/>
    <w:rsid w:val="00195F64"/>
    <w:rsid w:val="001A26D1"/>
    <w:rsid w:val="001B7FA0"/>
    <w:rsid w:val="001C172A"/>
    <w:rsid w:val="001C6311"/>
    <w:rsid w:val="001D11BE"/>
    <w:rsid w:val="001D21B0"/>
    <w:rsid w:val="001D4072"/>
    <w:rsid w:val="001D537A"/>
    <w:rsid w:val="001E6F80"/>
    <w:rsid w:val="001F04A2"/>
    <w:rsid w:val="002201D1"/>
    <w:rsid w:val="00220D3C"/>
    <w:rsid w:val="00223E02"/>
    <w:rsid w:val="00240B1C"/>
    <w:rsid w:val="00245245"/>
    <w:rsid w:val="00245D23"/>
    <w:rsid w:val="00250064"/>
    <w:rsid w:val="00250604"/>
    <w:rsid w:val="00253C9C"/>
    <w:rsid w:val="002621BE"/>
    <w:rsid w:val="002626CF"/>
    <w:rsid w:val="002735BE"/>
    <w:rsid w:val="00275AEF"/>
    <w:rsid w:val="00277218"/>
    <w:rsid w:val="002818CD"/>
    <w:rsid w:val="002965A0"/>
    <w:rsid w:val="002A2080"/>
    <w:rsid w:val="002A6874"/>
    <w:rsid w:val="002A730F"/>
    <w:rsid w:val="002B127E"/>
    <w:rsid w:val="002B5934"/>
    <w:rsid w:val="002C3599"/>
    <w:rsid w:val="002C42C4"/>
    <w:rsid w:val="002C46CE"/>
    <w:rsid w:val="002C5C77"/>
    <w:rsid w:val="002C7D8E"/>
    <w:rsid w:val="002E157D"/>
    <w:rsid w:val="002E4A72"/>
    <w:rsid w:val="002E733F"/>
    <w:rsid w:val="002E7CE5"/>
    <w:rsid w:val="002F4DBC"/>
    <w:rsid w:val="00302C4E"/>
    <w:rsid w:val="00303F93"/>
    <w:rsid w:val="003062A6"/>
    <w:rsid w:val="0030687B"/>
    <w:rsid w:val="0031188B"/>
    <w:rsid w:val="00315E31"/>
    <w:rsid w:val="00316C55"/>
    <w:rsid w:val="003174B1"/>
    <w:rsid w:val="00321966"/>
    <w:rsid w:val="00323DC6"/>
    <w:rsid w:val="00323ED2"/>
    <w:rsid w:val="00325637"/>
    <w:rsid w:val="00326868"/>
    <w:rsid w:val="003305E9"/>
    <w:rsid w:val="00331613"/>
    <w:rsid w:val="00341002"/>
    <w:rsid w:val="00345EF1"/>
    <w:rsid w:val="00346DFB"/>
    <w:rsid w:val="00354CAD"/>
    <w:rsid w:val="00356C53"/>
    <w:rsid w:val="00361FF4"/>
    <w:rsid w:val="00362A98"/>
    <w:rsid w:val="0036301A"/>
    <w:rsid w:val="00367638"/>
    <w:rsid w:val="00370E83"/>
    <w:rsid w:val="00371BEA"/>
    <w:rsid w:val="003759CF"/>
    <w:rsid w:val="003825CC"/>
    <w:rsid w:val="00383801"/>
    <w:rsid w:val="003847FD"/>
    <w:rsid w:val="00387426"/>
    <w:rsid w:val="003921C8"/>
    <w:rsid w:val="00392B0B"/>
    <w:rsid w:val="003A2930"/>
    <w:rsid w:val="003A32D7"/>
    <w:rsid w:val="003A7AE8"/>
    <w:rsid w:val="003B0CB6"/>
    <w:rsid w:val="003B2CA5"/>
    <w:rsid w:val="003C1BA5"/>
    <w:rsid w:val="003C2984"/>
    <w:rsid w:val="003C358E"/>
    <w:rsid w:val="003C5251"/>
    <w:rsid w:val="003D696D"/>
    <w:rsid w:val="003E3EE9"/>
    <w:rsid w:val="003E7EC1"/>
    <w:rsid w:val="003F2255"/>
    <w:rsid w:val="003F3310"/>
    <w:rsid w:val="003F5651"/>
    <w:rsid w:val="004035FF"/>
    <w:rsid w:val="004038DE"/>
    <w:rsid w:val="00403A92"/>
    <w:rsid w:val="00415B1F"/>
    <w:rsid w:val="00416AA4"/>
    <w:rsid w:val="004172C3"/>
    <w:rsid w:val="00417BB9"/>
    <w:rsid w:val="004213DC"/>
    <w:rsid w:val="0042656D"/>
    <w:rsid w:val="00426A2C"/>
    <w:rsid w:val="00431524"/>
    <w:rsid w:val="00431B77"/>
    <w:rsid w:val="00433E64"/>
    <w:rsid w:val="00436F14"/>
    <w:rsid w:val="0044788B"/>
    <w:rsid w:val="00447E98"/>
    <w:rsid w:val="0045276A"/>
    <w:rsid w:val="00455D19"/>
    <w:rsid w:val="00460CB3"/>
    <w:rsid w:val="00464B15"/>
    <w:rsid w:val="004667A2"/>
    <w:rsid w:val="00466BEF"/>
    <w:rsid w:val="0047228C"/>
    <w:rsid w:val="00477296"/>
    <w:rsid w:val="00487522"/>
    <w:rsid w:val="00492AFF"/>
    <w:rsid w:val="004A0377"/>
    <w:rsid w:val="004A307F"/>
    <w:rsid w:val="004A320B"/>
    <w:rsid w:val="004A59F9"/>
    <w:rsid w:val="004B0DC0"/>
    <w:rsid w:val="004C006A"/>
    <w:rsid w:val="004C1769"/>
    <w:rsid w:val="004C229E"/>
    <w:rsid w:val="004C2345"/>
    <w:rsid w:val="004C3565"/>
    <w:rsid w:val="004C6054"/>
    <w:rsid w:val="004D4027"/>
    <w:rsid w:val="004D672F"/>
    <w:rsid w:val="004E5153"/>
    <w:rsid w:val="004F161D"/>
    <w:rsid w:val="004F3B93"/>
    <w:rsid w:val="004F4FC8"/>
    <w:rsid w:val="004F59BB"/>
    <w:rsid w:val="0052059D"/>
    <w:rsid w:val="00524BD7"/>
    <w:rsid w:val="0053042A"/>
    <w:rsid w:val="00533E5B"/>
    <w:rsid w:val="0055034F"/>
    <w:rsid w:val="0055318E"/>
    <w:rsid w:val="0055381E"/>
    <w:rsid w:val="00557B36"/>
    <w:rsid w:val="00560C28"/>
    <w:rsid w:val="00566DE7"/>
    <w:rsid w:val="005711E0"/>
    <w:rsid w:val="00572CF9"/>
    <w:rsid w:val="0057444D"/>
    <w:rsid w:val="00574614"/>
    <w:rsid w:val="00575A1B"/>
    <w:rsid w:val="00575D18"/>
    <w:rsid w:val="005808E8"/>
    <w:rsid w:val="00586BFF"/>
    <w:rsid w:val="005A39CB"/>
    <w:rsid w:val="005A3D49"/>
    <w:rsid w:val="005A6ACE"/>
    <w:rsid w:val="005A7CDA"/>
    <w:rsid w:val="005B250D"/>
    <w:rsid w:val="005B5965"/>
    <w:rsid w:val="005B7B27"/>
    <w:rsid w:val="005C2D6B"/>
    <w:rsid w:val="005C4911"/>
    <w:rsid w:val="005D21F5"/>
    <w:rsid w:val="005E15E8"/>
    <w:rsid w:val="005F0CEA"/>
    <w:rsid w:val="005F197D"/>
    <w:rsid w:val="005F3EAB"/>
    <w:rsid w:val="005F653A"/>
    <w:rsid w:val="005F70D5"/>
    <w:rsid w:val="005F7533"/>
    <w:rsid w:val="00602513"/>
    <w:rsid w:val="006108AC"/>
    <w:rsid w:val="006110FE"/>
    <w:rsid w:val="006114A1"/>
    <w:rsid w:val="00623A85"/>
    <w:rsid w:val="006245CD"/>
    <w:rsid w:val="0062527A"/>
    <w:rsid w:val="006313B1"/>
    <w:rsid w:val="0064349B"/>
    <w:rsid w:val="006474E8"/>
    <w:rsid w:val="00653359"/>
    <w:rsid w:val="00654F01"/>
    <w:rsid w:val="00655C81"/>
    <w:rsid w:val="00657FBC"/>
    <w:rsid w:val="006667B9"/>
    <w:rsid w:val="00666AF4"/>
    <w:rsid w:val="0068413B"/>
    <w:rsid w:val="0068530B"/>
    <w:rsid w:val="006876E5"/>
    <w:rsid w:val="006A60C5"/>
    <w:rsid w:val="006C0252"/>
    <w:rsid w:val="006C3ADC"/>
    <w:rsid w:val="006C744D"/>
    <w:rsid w:val="006D46D0"/>
    <w:rsid w:val="006F299F"/>
    <w:rsid w:val="006F489D"/>
    <w:rsid w:val="006F4B9C"/>
    <w:rsid w:val="006F58A8"/>
    <w:rsid w:val="00702353"/>
    <w:rsid w:val="0070499B"/>
    <w:rsid w:val="00720B4C"/>
    <w:rsid w:val="00726597"/>
    <w:rsid w:val="007276A2"/>
    <w:rsid w:val="007341F9"/>
    <w:rsid w:val="00735D34"/>
    <w:rsid w:val="00745819"/>
    <w:rsid w:val="00747314"/>
    <w:rsid w:val="00754380"/>
    <w:rsid w:val="0076385E"/>
    <w:rsid w:val="00765183"/>
    <w:rsid w:val="00765912"/>
    <w:rsid w:val="00766729"/>
    <w:rsid w:val="007702CF"/>
    <w:rsid w:val="00771E97"/>
    <w:rsid w:val="00774D33"/>
    <w:rsid w:val="00776769"/>
    <w:rsid w:val="007870A1"/>
    <w:rsid w:val="00787303"/>
    <w:rsid w:val="007913C8"/>
    <w:rsid w:val="007A08A1"/>
    <w:rsid w:val="007A5C0C"/>
    <w:rsid w:val="007C22F9"/>
    <w:rsid w:val="007C2754"/>
    <w:rsid w:val="007D41E8"/>
    <w:rsid w:val="007D56CB"/>
    <w:rsid w:val="007E15E3"/>
    <w:rsid w:val="007E5966"/>
    <w:rsid w:val="007E763A"/>
    <w:rsid w:val="007E7DD9"/>
    <w:rsid w:val="007F01DA"/>
    <w:rsid w:val="007F0350"/>
    <w:rsid w:val="007F0940"/>
    <w:rsid w:val="007F0945"/>
    <w:rsid w:val="007F5FD9"/>
    <w:rsid w:val="008005C1"/>
    <w:rsid w:val="008061A4"/>
    <w:rsid w:val="00807339"/>
    <w:rsid w:val="00813CA3"/>
    <w:rsid w:val="008153CD"/>
    <w:rsid w:val="008154B8"/>
    <w:rsid w:val="00820BEA"/>
    <w:rsid w:val="008234CF"/>
    <w:rsid w:val="00831B04"/>
    <w:rsid w:val="00834262"/>
    <w:rsid w:val="00836A19"/>
    <w:rsid w:val="00836E77"/>
    <w:rsid w:val="00840F50"/>
    <w:rsid w:val="00843B3D"/>
    <w:rsid w:val="00843C59"/>
    <w:rsid w:val="00844B8A"/>
    <w:rsid w:val="00850D43"/>
    <w:rsid w:val="00851AAB"/>
    <w:rsid w:val="0086613B"/>
    <w:rsid w:val="00867A7A"/>
    <w:rsid w:val="00874161"/>
    <w:rsid w:val="00874E16"/>
    <w:rsid w:val="00883D25"/>
    <w:rsid w:val="00885AF1"/>
    <w:rsid w:val="00897127"/>
    <w:rsid w:val="008A2835"/>
    <w:rsid w:val="008B664C"/>
    <w:rsid w:val="008C0D43"/>
    <w:rsid w:val="008C2553"/>
    <w:rsid w:val="008D0744"/>
    <w:rsid w:val="008D5288"/>
    <w:rsid w:val="008D7406"/>
    <w:rsid w:val="008E0C30"/>
    <w:rsid w:val="008F03ED"/>
    <w:rsid w:val="008F0BE8"/>
    <w:rsid w:val="008F2F0B"/>
    <w:rsid w:val="008F7E9D"/>
    <w:rsid w:val="00910E12"/>
    <w:rsid w:val="0091366F"/>
    <w:rsid w:val="00915271"/>
    <w:rsid w:val="00915D5B"/>
    <w:rsid w:val="00917513"/>
    <w:rsid w:val="00921F0D"/>
    <w:rsid w:val="00924381"/>
    <w:rsid w:val="009307B4"/>
    <w:rsid w:val="009339B5"/>
    <w:rsid w:val="00944C3B"/>
    <w:rsid w:val="00946D70"/>
    <w:rsid w:val="009541DF"/>
    <w:rsid w:val="00966BF8"/>
    <w:rsid w:val="00966DCC"/>
    <w:rsid w:val="00967C1A"/>
    <w:rsid w:val="00974037"/>
    <w:rsid w:val="00974429"/>
    <w:rsid w:val="00976267"/>
    <w:rsid w:val="009833A5"/>
    <w:rsid w:val="00983532"/>
    <w:rsid w:val="0098659E"/>
    <w:rsid w:val="00991E68"/>
    <w:rsid w:val="00992337"/>
    <w:rsid w:val="00992D10"/>
    <w:rsid w:val="00995BDE"/>
    <w:rsid w:val="00996239"/>
    <w:rsid w:val="009A09CA"/>
    <w:rsid w:val="009A25D8"/>
    <w:rsid w:val="009A7F7B"/>
    <w:rsid w:val="009A7FC3"/>
    <w:rsid w:val="009B11B9"/>
    <w:rsid w:val="009B12DF"/>
    <w:rsid w:val="009B32AD"/>
    <w:rsid w:val="009B6AC5"/>
    <w:rsid w:val="009C0CA2"/>
    <w:rsid w:val="009C5A68"/>
    <w:rsid w:val="009D1B31"/>
    <w:rsid w:val="009D42F0"/>
    <w:rsid w:val="009D65C1"/>
    <w:rsid w:val="009E026B"/>
    <w:rsid w:val="009E5A05"/>
    <w:rsid w:val="009F31CB"/>
    <w:rsid w:val="009F656D"/>
    <w:rsid w:val="00A00691"/>
    <w:rsid w:val="00A013D3"/>
    <w:rsid w:val="00A04D37"/>
    <w:rsid w:val="00A13EA2"/>
    <w:rsid w:val="00A21256"/>
    <w:rsid w:val="00A228F1"/>
    <w:rsid w:val="00A32351"/>
    <w:rsid w:val="00A43B6E"/>
    <w:rsid w:val="00A6007E"/>
    <w:rsid w:val="00A61A10"/>
    <w:rsid w:val="00A66143"/>
    <w:rsid w:val="00A679AF"/>
    <w:rsid w:val="00A71259"/>
    <w:rsid w:val="00A85680"/>
    <w:rsid w:val="00A86FBC"/>
    <w:rsid w:val="00A87654"/>
    <w:rsid w:val="00A95D4F"/>
    <w:rsid w:val="00A9756D"/>
    <w:rsid w:val="00AB183F"/>
    <w:rsid w:val="00AC1E73"/>
    <w:rsid w:val="00AD2460"/>
    <w:rsid w:val="00AD4D1A"/>
    <w:rsid w:val="00AD6E46"/>
    <w:rsid w:val="00AE1DCA"/>
    <w:rsid w:val="00AE2153"/>
    <w:rsid w:val="00AE3D39"/>
    <w:rsid w:val="00AE4223"/>
    <w:rsid w:val="00AF37FF"/>
    <w:rsid w:val="00AF6657"/>
    <w:rsid w:val="00B006E6"/>
    <w:rsid w:val="00B01865"/>
    <w:rsid w:val="00B02410"/>
    <w:rsid w:val="00B02A38"/>
    <w:rsid w:val="00B03C88"/>
    <w:rsid w:val="00B1778F"/>
    <w:rsid w:val="00B329C6"/>
    <w:rsid w:val="00B33955"/>
    <w:rsid w:val="00B35FA4"/>
    <w:rsid w:val="00B42392"/>
    <w:rsid w:val="00B43D0A"/>
    <w:rsid w:val="00B44AE3"/>
    <w:rsid w:val="00B47114"/>
    <w:rsid w:val="00B47297"/>
    <w:rsid w:val="00B50A54"/>
    <w:rsid w:val="00B5243D"/>
    <w:rsid w:val="00B52567"/>
    <w:rsid w:val="00B56779"/>
    <w:rsid w:val="00B56FC0"/>
    <w:rsid w:val="00B62E2B"/>
    <w:rsid w:val="00B65AA1"/>
    <w:rsid w:val="00B65C3D"/>
    <w:rsid w:val="00B74EED"/>
    <w:rsid w:val="00B87F02"/>
    <w:rsid w:val="00B91690"/>
    <w:rsid w:val="00B969DC"/>
    <w:rsid w:val="00BA0D2D"/>
    <w:rsid w:val="00BA213B"/>
    <w:rsid w:val="00BA321C"/>
    <w:rsid w:val="00BA466D"/>
    <w:rsid w:val="00BB0935"/>
    <w:rsid w:val="00BB0E89"/>
    <w:rsid w:val="00BB29B2"/>
    <w:rsid w:val="00BB2ED6"/>
    <w:rsid w:val="00BB70D6"/>
    <w:rsid w:val="00BC6DDF"/>
    <w:rsid w:val="00BD147C"/>
    <w:rsid w:val="00BD5753"/>
    <w:rsid w:val="00BD63BB"/>
    <w:rsid w:val="00BD6D8C"/>
    <w:rsid w:val="00BD78E2"/>
    <w:rsid w:val="00BE3381"/>
    <w:rsid w:val="00BE647B"/>
    <w:rsid w:val="00BF01BE"/>
    <w:rsid w:val="00BF13A4"/>
    <w:rsid w:val="00C0208D"/>
    <w:rsid w:val="00C04E48"/>
    <w:rsid w:val="00C0516B"/>
    <w:rsid w:val="00C142C1"/>
    <w:rsid w:val="00C166CD"/>
    <w:rsid w:val="00C21470"/>
    <w:rsid w:val="00C22C4C"/>
    <w:rsid w:val="00C30398"/>
    <w:rsid w:val="00C31198"/>
    <w:rsid w:val="00C311A4"/>
    <w:rsid w:val="00C35465"/>
    <w:rsid w:val="00C4726F"/>
    <w:rsid w:val="00C47F5C"/>
    <w:rsid w:val="00C61905"/>
    <w:rsid w:val="00C622A5"/>
    <w:rsid w:val="00C64508"/>
    <w:rsid w:val="00C67ED7"/>
    <w:rsid w:val="00C74939"/>
    <w:rsid w:val="00C804E7"/>
    <w:rsid w:val="00C81DFA"/>
    <w:rsid w:val="00C90BE8"/>
    <w:rsid w:val="00C9441A"/>
    <w:rsid w:val="00CA18CF"/>
    <w:rsid w:val="00CB425B"/>
    <w:rsid w:val="00CC0684"/>
    <w:rsid w:val="00CC06A1"/>
    <w:rsid w:val="00CC1C92"/>
    <w:rsid w:val="00CD4A25"/>
    <w:rsid w:val="00CE22A0"/>
    <w:rsid w:val="00CE564D"/>
    <w:rsid w:val="00CF44D5"/>
    <w:rsid w:val="00CF5A89"/>
    <w:rsid w:val="00D0283A"/>
    <w:rsid w:val="00D02DC0"/>
    <w:rsid w:val="00D06A62"/>
    <w:rsid w:val="00D11D0B"/>
    <w:rsid w:val="00D1227D"/>
    <w:rsid w:val="00D232F2"/>
    <w:rsid w:val="00D27453"/>
    <w:rsid w:val="00D355A5"/>
    <w:rsid w:val="00D36057"/>
    <w:rsid w:val="00D46C11"/>
    <w:rsid w:val="00D53229"/>
    <w:rsid w:val="00D56804"/>
    <w:rsid w:val="00D61616"/>
    <w:rsid w:val="00D72B17"/>
    <w:rsid w:val="00D829BE"/>
    <w:rsid w:val="00D96A40"/>
    <w:rsid w:val="00DA1D11"/>
    <w:rsid w:val="00DA661A"/>
    <w:rsid w:val="00DA70F4"/>
    <w:rsid w:val="00DB0524"/>
    <w:rsid w:val="00DB5582"/>
    <w:rsid w:val="00DB6924"/>
    <w:rsid w:val="00DC0A52"/>
    <w:rsid w:val="00DC24B7"/>
    <w:rsid w:val="00DC5695"/>
    <w:rsid w:val="00E10F01"/>
    <w:rsid w:val="00E129AA"/>
    <w:rsid w:val="00E1552F"/>
    <w:rsid w:val="00E20F5D"/>
    <w:rsid w:val="00E40FFC"/>
    <w:rsid w:val="00E43C0E"/>
    <w:rsid w:val="00E445D8"/>
    <w:rsid w:val="00E50679"/>
    <w:rsid w:val="00E56919"/>
    <w:rsid w:val="00E62067"/>
    <w:rsid w:val="00E76012"/>
    <w:rsid w:val="00E96FC4"/>
    <w:rsid w:val="00EA27AA"/>
    <w:rsid w:val="00EB45F6"/>
    <w:rsid w:val="00EC26D8"/>
    <w:rsid w:val="00EC5E3B"/>
    <w:rsid w:val="00EC5E75"/>
    <w:rsid w:val="00ED0287"/>
    <w:rsid w:val="00ED4124"/>
    <w:rsid w:val="00ED6A28"/>
    <w:rsid w:val="00EE5390"/>
    <w:rsid w:val="00EF302C"/>
    <w:rsid w:val="00F0142A"/>
    <w:rsid w:val="00F165DC"/>
    <w:rsid w:val="00F2118D"/>
    <w:rsid w:val="00F25FE9"/>
    <w:rsid w:val="00F25FFA"/>
    <w:rsid w:val="00F276B9"/>
    <w:rsid w:val="00F27E65"/>
    <w:rsid w:val="00F31DA6"/>
    <w:rsid w:val="00F37DF6"/>
    <w:rsid w:val="00F41B41"/>
    <w:rsid w:val="00F43DD5"/>
    <w:rsid w:val="00F51B28"/>
    <w:rsid w:val="00F52172"/>
    <w:rsid w:val="00F57384"/>
    <w:rsid w:val="00F57A1C"/>
    <w:rsid w:val="00F601C1"/>
    <w:rsid w:val="00F61D51"/>
    <w:rsid w:val="00F644AA"/>
    <w:rsid w:val="00F676DE"/>
    <w:rsid w:val="00F67E3B"/>
    <w:rsid w:val="00F77413"/>
    <w:rsid w:val="00F818FB"/>
    <w:rsid w:val="00F81903"/>
    <w:rsid w:val="00F83CD7"/>
    <w:rsid w:val="00F8560C"/>
    <w:rsid w:val="00F85CE9"/>
    <w:rsid w:val="00F878D9"/>
    <w:rsid w:val="00FA6733"/>
    <w:rsid w:val="00FB3E70"/>
    <w:rsid w:val="00FC5238"/>
    <w:rsid w:val="00FD223A"/>
    <w:rsid w:val="00FD3906"/>
    <w:rsid w:val="00FD55FA"/>
    <w:rsid w:val="00FE4579"/>
    <w:rsid w:val="00FF1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01C00"/>
  <w15:chartTrackingRefBased/>
  <w15:docId w15:val="{A1ECE3CB-A77C-415E-9F49-687367AA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9541DF"/>
    <w:pPr>
      <w:spacing w:line="240" w:lineRule="auto"/>
    </w:pPr>
  </w:style>
  <w:style w:type="paragraph" w:styleId="Heading1">
    <w:name w:val="heading 1"/>
    <w:basedOn w:val="Normal"/>
    <w:next w:val="Normal"/>
    <w:link w:val="Heading1Char"/>
    <w:uiPriority w:val="9"/>
    <w:qFormat/>
    <w:rsid w:val="000730CF"/>
    <w:pPr>
      <w:keepNext/>
      <w:keepLines/>
      <w:pBdr>
        <w:top w:val="single" w:sz="12" w:space="1" w:color="702F8A"/>
      </w:pBdr>
      <w:spacing w:after="240"/>
      <w:outlineLvl w:val="0"/>
    </w:pPr>
    <w:rPr>
      <w:rFonts w:eastAsiaTheme="majorEastAsia" w:cstheme="majorBidi"/>
      <w:sz w:val="52"/>
      <w:szCs w:val="32"/>
    </w:rPr>
  </w:style>
  <w:style w:type="paragraph" w:styleId="Heading2">
    <w:name w:val="heading 2"/>
    <w:aliases w:val="LO Heading"/>
    <w:basedOn w:val="Normal"/>
    <w:next w:val="Normal"/>
    <w:link w:val="Heading2Char"/>
    <w:uiPriority w:val="9"/>
    <w:unhideWhenUsed/>
    <w:qFormat/>
    <w:rsid w:val="00392B0B"/>
    <w:pPr>
      <w:keepNext/>
      <w:keepLines/>
      <w:spacing w:after="80"/>
      <w:outlineLvl w:val="1"/>
    </w:pPr>
    <w:rPr>
      <w:rFonts w:eastAsiaTheme="majorEastAsia" w:cstheme="majorBidi"/>
      <w:color w:val="702F8A"/>
      <w:sz w:val="28"/>
      <w:szCs w:val="26"/>
    </w:rPr>
  </w:style>
  <w:style w:type="paragraph" w:styleId="Heading3">
    <w:name w:val="heading 3"/>
    <w:basedOn w:val="Normal"/>
    <w:next w:val="Normal"/>
    <w:link w:val="Heading3Char"/>
    <w:uiPriority w:val="9"/>
    <w:unhideWhenUsed/>
    <w:qFormat/>
    <w:rsid w:val="00A71259"/>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rsid w:val="00976267"/>
    <w:pPr>
      <w:keepNext/>
      <w:keepLines/>
      <w:spacing w:after="80"/>
      <w:outlineLvl w:val="3"/>
    </w:pPr>
    <w:rPr>
      <w:rFonts w:asciiTheme="majorHAnsi" w:eastAsiaTheme="majorEastAsia" w:hAnsiTheme="majorHAnsi" w:cstheme="majorBidi"/>
      <w:iCs/>
      <w:color w:val="CD26A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pageheading">
    <w:name w:val="Front page heading"/>
    <w:basedOn w:val="Normal"/>
    <w:link w:val="FrontpageheadingChar"/>
    <w:qFormat/>
    <w:rsid w:val="000730CF"/>
    <w:pPr>
      <w:pBdr>
        <w:top w:val="single" w:sz="12" w:space="1" w:color="702F8A"/>
      </w:pBdr>
      <w:spacing w:after="360"/>
    </w:pPr>
    <w:rPr>
      <w:sz w:val="76"/>
    </w:rPr>
  </w:style>
  <w:style w:type="paragraph" w:customStyle="1" w:styleId="NoParagraphStyle">
    <w:name w:val="[No Paragraph Style]"/>
    <w:rsid w:val="00F77413"/>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FrontpageheadingChar">
    <w:name w:val="Front page heading Char"/>
    <w:basedOn w:val="DefaultParagraphFont"/>
    <w:link w:val="Frontpageheading"/>
    <w:rsid w:val="000730CF"/>
    <w:rPr>
      <w:sz w:val="76"/>
    </w:rPr>
  </w:style>
  <w:style w:type="paragraph" w:customStyle="1" w:styleId="BasicParagraph">
    <w:name w:val="[Basic Paragraph]"/>
    <w:basedOn w:val="NoParagraphStyle"/>
    <w:uiPriority w:val="99"/>
    <w:rsid w:val="00F77413"/>
  </w:style>
  <w:style w:type="paragraph" w:customStyle="1" w:styleId="Qaultile">
    <w:name w:val="Qaul tile"/>
    <w:basedOn w:val="Frontpageheading"/>
    <w:link w:val="QaultileChar"/>
    <w:qFormat/>
    <w:rsid w:val="005A39CB"/>
    <w:pPr>
      <w:pBdr>
        <w:top w:val="none" w:sz="0" w:space="0" w:color="auto"/>
      </w:pBdr>
      <w:spacing w:after="60"/>
    </w:pPr>
    <w:rPr>
      <w:sz w:val="40"/>
    </w:rPr>
  </w:style>
  <w:style w:type="paragraph" w:customStyle="1" w:styleId="QN">
    <w:name w:val="QN"/>
    <w:basedOn w:val="Qaultile"/>
    <w:link w:val="QNChar"/>
    <w:qFormat/>
    <w:rsid w:val="005A39CB"/>
    <w:rPr>
      <w:color w:val="AEAAAA" w:themeColor="background2" w:themeShade="BF"/>
      <w:sz w:val="36"/>
    </w:rPr>
  </w:style>
  <w:style w:type="character" w:customStyle="1" w:styleId="QaultileChar">
    <w:name w:val="Qaul tile Char"/>
    <w:basedOn w:val="FrontpageheadingChar"/>
    <w:link w:val="Qaultile"/>
    <w:rsid w:val="005A39CB"/>
    <w:rPr>
      <w:sz w:val="40"/>
    </w:rPr>
  </w:style>
  <w:style w:type="paragraph" w:styleId="Header">
    <w:name w:val="header"/>
    <w:basedOn w:val="Normal"/>
    <w:link w:val="HeaderChar"/>
    <w:uiPriority w:val="99"/>
    <w:unhideWhenUsed/>
    <w:rsid w:val="005B5965"/>
    <w:pPr>
      <w:tabs>
        <w:tab w:val="center" w:pos="4513"/>
        <w:tab w:val="right" w:pos="9026"/>
      </w:tabs>
      <w:spacing w:after="0"/>
    </w:pPr>
  </w:style>
  <w:style w:type="character" w:customStyle="1" w:styleId="QNChar">
    <w:name w:val="QN Char"/>
    <w:basedOn w:val="QaultileChar"/>
    <w:link w:val="QN"/>
    <w:rsid w:val="005A39CB"/>
    <w:rPr>
      <w:color w:val="AEAAAA" w:themeColor="background2" w:themeShade="BF"/>
      <w:sz w:val="36"/>
    </w:rPr>
  </w:style>
  <w:style w:type="character" w:customStyle="1" w:styleId="HeaderChar">
    <w:name w:val="Header Char"/>
    <w:basedOn w:val="DefaultParagraphFont"/>
    <w:link w:val="Header"/>
    <w:uiPriority w:val="99"/>
    <w:rsid w:val="005B5965"/>
  </w:style>
  <w:style w:type="paragraph" w:styleId="Footer">
    <w:name w:val="footer"/>
    <w:basedOn w:val="Normal"/>
    <w:link w:val="FooterChar"/>
    <w:uiPriority w:val="99"/>
    <w:unhideWhenUsed/>
    <w:rsid w:val="005B5965"/>
    <w:pPr>
      <w:tabs>
        <w:tab w:val="center" w:pos="4513"/>
        <w:tab w:val="right" w:pos="9026"/>
      </w:tabs>
      <w:spacing w:after="0"/>
    </w:pPr>
  </w:style>
  <w:style w:type="character" w:customStyle="1" w:styleId="FooterChar">
    <w:name w:val="Footer Char"/>
    <w:basedOn w:val="DefaultParagraphFont"/>
    <w:link w:val="Footer"/>
    <w:uiPriority w:val="99"/>
    <w:rsid w:val="005B5965"/>
  </w:style>
  <w:style w:type="paragraph" w:customStyle="1" w:styleId="Headings">
    <w:name w:val="Headings"/>
    <w:basedOn w:val="Normal"/>
    <w:link w:val="HeadingsChar"/>
    <w:rsid w:val="00CB425B"/>
    <w:pPr>
      <w:pBdr>
        <w:top w:val="single" w:sz="12" w:space="1" w:color="CD26AF"/>
      </w:pBdr>
      <w:spacing w:after="240"/>
    </w:pPr>
    <w:rPr>
      <w:sz w:val="52"/>
    </w:rPr>
  </w:style>
  <w:style w:type="paragraph" w:customStyle="1" w:styleId="Default">
    <w:name w:val="Default"/>
    <w:rsid w:val="00CB425B"/>
    <w:pPr>
      <w:autoSpaceDE w:val="0"/>
      <w:autoSpaceDN w:val="0"/>
      <w:adjustRightInd w:val="0"/>
      <w:spacing w:after="0" w:line="240" w:lineRule="auto"/>
    </w:pPr>
    <w:rPr>
      <w:rFonts w:ascii="Arial" w:hAnsi="Arial" w:cs="Arial"/>
      <w:color w:val="000000"/>
      <w:sz w:val="24"/>
      <w:szCs w:val="24"/>
    </w:rPr>
  </w:style>
  <w:style w:type="character" w:customStyle="1" w:styleId="HeadingsChar">
    <w:name w:val="Headings Char"/>
    <w:basedOn w:val="DefaultParagraphFont"/>
    <w:link w:val="Headings"/>
    <w:rsid w:val="00CB425B"/>
    <w:rPr>
      <w:sz w:val="52"/>
    </w:rPr>
  </w:style>
  <w:style w:type="paragraph" w:customStyle="1" w:styleId="Headings2">
    <w:name w:val="Headings 2"/>
    <w:basedOn w:val="Normal"/>
    <w:link w:val="Headings2Char"/>
    <w:rsid w:val="00CB425B"/>
    <w:pPr>
      <w:spacing w:after="80"/>
    </w:pPr>
    <w:rPr>
      <w:color w:val="CD26AF"/>
      <w:sz w:val="28"/>
    </w:rPr>
  </w:style>
  <w:style w:type="paragraph" w:styleId="ListParagraph">
    <w:name w:val="List Paragraph"/>
    <w:basedOn w:val="Normal"/>
    <w:link w:val="ListParagraphChar"/>
    <w:uiPriority w:val="34"/>
    <w:qFormat/>
    <w:rsid w:val="00161E31"/>
    <w:pPr>
      <w:ind w:left="720"/>
      <w:contextualSpacing/>
    </w:pPr>
  </w:style>
  <w:style w:type="character" w:customStyle="1" w:styleId="Headings2Char">
    <w:name w:val="Headings 2 Char"/>
    <w:basedOn w:val="DefaultParagraphFont"/>
    <w:link w:val="Headings2"/>
    <w:rsid w:val="00CB425B"/>
    <w:rPr>
      <w:color w:val="CD26AF"/>
      <w:sz w:val="28"/>
    </w:rPr>
  </w:style>
  <w:style w:type="paragraph" w:customStyle="1" w:styleId="Bullet">
    <w:name w:val="Bullet"/>
    <w:basedOn w:val="ListParagraph"/>
    <w:link w:val="BulletChar"/>
    <w:qFormat/>
    <w:rsid w:val="003C2984"/>
    <w:pPr>
      <w:numPr>
        <w:numId w:val="1"/>
      </w:numPr>
      <w:spacing w:after="0"/>
      <w:ind w:left="357" w:hanging="357"/>
    </w:pPr>
  </w:style>
  <w:style w:type="character" w:customStyle="1" w:styleId="Heading1Char">
    <w:name w:val="Heading 1 Char"/>
    <w:basedOn w:val="DefaultParagraphFont"/>
    <w:link w:val="Heading1"/>
    <w:uiPriority w:val="9"/>
    <w:rsid w:val="000730CF"/>
    <w:rPr>
      <w:rFonts w:eastAsiaTheme="majorEastAsia" w:cstheme="majorBidi"/>
      <w:sz w:val="52"/>
      <w:szCs w:val="32"/>
    </w:rPr>
  </w:style>
  <w:style w:type="character" w:customStyle="1" w:styleId="ListParagraphChar">
    <w:name w:val="List Paragraph Char"/>
    <w:basedOn w:val="DefaultParagraphFont"/>
    <w:link w:val="ListParagraph"/>
    <w:uiPriority w:val="34"/>
    <w:rsid w:val="00161E31"/>
  </w:style>
  <w:style w:type="character" w:customStyle="1" w:styleId="BulletChar">
    <w:name w:val="Bullet Char"/>
    <w:basedOn w:val="ListParagraphChar"/>
    <w:link w:val="Bullet"/>
    <w:rsid w:val="003C2984"/>
  </w:style>
  <w:style w:type="paragraph" w:styleId="TOCHeading">
    <w:name w:val="TOC Heading"/>
    <w:basedOn w:val="Heading1"/>
    <w:next w:val="Normal"/>
    <w:uiPriority w:val="39"/>
    <w:unhideWhenUsed/>
    <w:qFormat/>
    <w:rsid w:val="003174B1"/>
    <w:pPr>
      <w:outlineLvl w:val="9"/>
    </w:pPr>
    <w:rPr>
      <w:lang w:val="en-US"/>
    </w:rPr>
  </w:style>
  <w:style w:type="paragraph" w:styleId="TOC2">
    <w:name w:val="toc 2"/>
    <w:basedOn w:val="Normal"/>
    <w:next w:val="Normal"/>
    <w:autoRedefine/>
    <w:uiPriority w:val="39"/>
    <w:unhideWhenUsed/>
    <w:rsid w:val="003174B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3174B1"/>
    <w:pPr>
      <w:spacing w:after="100"/>
    </w:pPr>
    <w:rPr>
      <w:rFonts w:eastAsiaTheme="minorEastAsia" w:cs="Times New Roman"/>
      <w:lang w:val="en-US"/>
    </w:rPr>
  </w:style>
  <w:style w:type="paragraph" w:styleId="TOC3">
    <w:name w:val="toc 3"/>
    <w:basedOn w:val="Normal"/>
    <w:next w:val="Normal"/>
    <w:autoRedefine/>
    <w:uiPriority w:val="39"/>
    <w:unhideWhenUsed/>
    <w:rsid w:val="003174B1"/>
    <w:pPr>
      <w:spacing w:after="100"/>
      <w:ind w:left="440"/>
    </w:pPr>
    <w:rPr>
      <w:rFonts w:eastAsiaTheme="minorEastAsia" w:cs="Times New Roman"/>
      <w:lang w:val="en-US"/>
    </w:rPr>
  </w:style>
  <w:style w:type="table" w:styleId="TableGrid">
    <w:name w:val="Table Grid"/>
    <w:basedOn w:val="TableNormal"/>
    <w:uiPriority w:val="39"/>
    <w:rsid w:val="0031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4B1"/>
    <w:rPr>
      <w:color w:val="0563C1" w:themeColor="hyperlink"/>
      <w:u w:val="single"/>
    </w:rPr>
  </w:style>
  <w:style w:type="character" w:customStyle="1" w:styleId="Heading2Char">
    <w:name w:val="Heading 2 Char"/>
    <w:aliases w:val="LO Heading Char"/>
    <w:basedOn w:val="DefaultParagraphFont"/>
    <w:link w:val="Heading2"/>
    <w:uiPriority w:val="9"/>
    <w:rsid w:val="00392B0B"/>
    <w:rPr>
      <w:rFonts w:eastAsiaTheme="majorEastAsia" w:cstheme="majorBidi"/>
      <w:color w:val="702F8A"/>
      <w:sz w:val="28"/>
      <w:szCs w:val="26"/>
    </w:rPr>
  </w:style>
  <w:style w:type="paragraph" w:customStyle="1" w:styleId="bodytextbold">
    <w:name w:val="body text bold"/>
    <w:basedOn w:val="Normal"/>
    <w:link w:val="bodytextboldChar"/>
    <w:rsid w:val="003F2255"/>
    <w:pPr>
      <w:spacing w:after="80"/>
    </w:pPr>
    <w:rPr>
      <w:rFonts w:cs="Arial"/>
      <w:color w:val="CD26AF"/>
    </w:rPr>
  </w:style>
  <w:style w:type="character" w:customStyle="1" w:styleId="bodytextboldChar">
    <w:name w:val="body text bold Char"/>
    <w:basedOn w:val="DefaultParagraphFont"/>
    <w:link w:val="bodytextbold"/>
    <w:rsid w:val="003F2255"/>
    <w:rPr>
      <w:rFonts w:cs="Arial"/>
      <w:color w:val="CD26AF"/>
    </w:rPr>
  </w:style>
  <w:style w:type="character" w:customStyle="1" w:styleId="Title1Char">
    <w:name w:val="Title 1 Char"/>
    <w:basedOn w:val="DefaultParagraphFont"/>
    <w:link w:val="Title1"/>
    <w:locked/>
    <w:rsid w:val="00195B44"/>
    <w:rPr>
      <w:rFonts w:ascii="Arial" w:eastAsiaTheme="majorEastAsia" w:hAnsi="Arial" w:cstheme="majorBidi"/>
      <w:color w:val="6A2C91"/>
      <w:sz w:val="44"/>
      <w:szCs w:val="32"/>
    </w:rPr>
  </w:style>
  <w:style w:type="paragraph" w:customStyle="1" w:styleId="Title1">
    <w:name w:val="Title 1"/>
    <w:basedOn w:val="Heading1"/>
    <w:link w:val="Title1Char"/>
    <w:autoRedefine/>
    <w:rsid w:val="00195B44"/>
    <w:pPr>
      <w:pBdr>
        <w:top w:val="none" w:sz="0" w:space="0" w:color="auto"/>
        <w:bottom w:val="single" w:sz="4" w:space="1" w:color="6A2C91"/>
      </w:pBdr>
      <w:spacing w:after="120"/>
    </w:pPr>
    <w:rPr>
      <w:rFonts w:ascii="Arial" w:hAnsi="Arial"/>
      <w:color w:val="6A2C91"/>
      <w:sz w:val="44"/>
    </w:rPr>
  </w:style>
  <w:style w:type="character" w:customStyle="1" w:styleId="Heading3Char">
    <w:name w:val="Heading 3 Char"/>
    <w:basedOn w:val="DefaultParagraphFont"/>
    <w:link w:val="Heading3"/>
    <w:uiPriority w:val="9"/>
    <w:rsid w:val="00A71259"/>
    <w:rPr>
      <w:rFonts w:eastAsiaTheme="majorEastAsia" w:cstheme="majorBidi"/>
      <w:sz w:val="24"/>
      <w:szCs w:val="24"/>
    </w:rPr>
  </w:style>
  <w:style w:type="character" w:customStyle="1" w:styleId="BulletedtextChar">
    <w:name w:val="Bulleted text Char"/>
    <w:basedOn w:val="DefaultParagraphFont"/>
    <w:link w:val="Bulletedtext"/>
    <w:locked/>
    <w:rsid w:val="003C5251"/>
    <w:rPr>
      <w:rFonts w:ascii="Arial" w:hAnsi="Arial" w:cs="Arial"/>
    </w:rPr>
  </w:style>
  <w:style w:type="paragraph" w:customStyle="1" w:styleId="Bulletedtext">
    <w:name w:val="Bulleted text"/>
    <w:basedOn w:val="Normal"/>
    <w:link w:val="BulletedtextChar"/>
    <w:autoRedefine/>
    <w:rsid w:val="003C5251"/>
    <w:pPr>
      <w:numPr>
        <w:numId w:val="2"/>
      </w:numPr>
      <w:spacing w:after="0"/>
    </w:pPr>
    <w:rPr>
      <w:rFonts w:ascii="Arial" w:hAnsi="Arial" w:cs="Arial"/>
    </w:rPr>
  </w:style>
  <w:style w:type="character" w:customStyle="1" w:styleId="Heading4Char">
    <w:name w:val="Heading 4 Char"/>
    <w:basedOn w:val="DefaultParagraphFont"/>
    <w:link w:val="Heading4"/>
    <w:uiPriority w:val="9"/>
    <w:rsid w:val="00976267"/>
    <w:rPr>
      <w:rFonts w:asciiTheme="majorHAnsi" w:eastAsiaTheme="majorEastAsia" w:hAnsiTheme="majorHAnsi" w:cstheme="majorBidi"/>
      <w:iCs/>
      <w:color w:val="CD26AF"/>
    </w:rPr>
  </w:style>
  <w:style w:type="paragraph" w:customStyle="1" w:styleId="LO">
    <w:name w:val="LO"/>
    <w:basedOn w:val="Normal"/>
    <w:link w:val="LOChar"/>
    <w:qFormat/>
    <w:rsid w:val="00325637"/>
    <w:pPr>
      <w:spacing w:after="80"/>
    </w:pPr>
  </w:style>
  <w:style w:type="paragraph" w:customStyle="1" w:styleId="numberheading">
    <w:name w:val="number heading"/>
    <w:basedOn w:val="Bullet"/>
    <w:link w:val="numberheadingChar"/>
    <w:qFormat/>
    <w:rsid w:val="00A71259"/>
    <w:pPr>
      <w:numPr>
        <w:numId w:val="4"/>
      </w:numPr>
      <w:spacing w:after="120"/>
      <w:ind w:left="357" w:hanging="357"/>
    </w:pPr>
    <w:rPr>
      <w:sz w:val="32"/>
    </w:rPr>
  </w:style>
  <w:style w:type="character" w:customStyle="1" w:styleId="LOChar">
    <w:name w:val="LO Char"/>
    <w:basedOn w:val="DefaultParagraphFont"/>
    <w:link w:val="LO"/>
    <w:rsid w:val="00325637"/>
  </w:style>
  <w:style w:type="paragraph" w:customStyle="1" w:styleId="Bullet2">
    <w:name w:val="Bullet 2"/>
    <w:link w:val="Bullet2Char"/>
    <w:qFormat/>
    <w:rsid w:val="00A87654"/>
    <w:pPr>
      <w:numPr>
        <w:numId w:val="5"/>
      </w:numPr>
      <w:spacing w:after="40"/>
      <w:ind w:left="1077" w:hanging="357"/>
    </w:pPr>
  </w:style>
  <w:style w:type="character" w:customStyle="1" w:styleId="numberheadingChar">
    <w:name w:val="number heading Char"/>
    <w:basedOn w:val="BulletChar"/>
    <w:link w:val="numberheading"/>
    <w:rsid w:val="00A71259"/>
    <w:rPr>
      <w:sz w:val="32"/>
    </w:rPr>
  </w:style>
  <w:style w:type="paragraph" w:customStyle="1" w:styleId="Bullet1">
    <w:name w:val="Bullet 1"/>
    <w:basedOn w:val="Default"/>
    <w:link w:val="Bullet1Char"/>
    <w:rsid w:val="00B006E6"/>
    <w:pPr>
      <w:numPr>
        <w:numId w:val="6"/>
      </w:numPr>
    </w:pPr>
    <w:rPr>
      <w:rFonts w:eastAsia="Times New Roman"/>
      <w:color w:val="auto"/>
      <w:sz w:val="22"/>
      <w:szCs w:val="22"/>
      <w:lang w:eastAsia="en-GB"/>
    </w:rPr>
  </w:style>
  <w:style w:type="character" w:customStyle="1" w:styleId="Bullet2Char">
    <w:name w:val="Bullet 2 Char"/>
    <w:basedOn w:val="BulletChar"/>
    <w:link w:val="Bullet2"/>
    <w:rsid w:val="00A87654"/>
  </w:style>
  <w:style w:type="paragraph" w:styleId="NoSpacing">
    <w:name w:val="No Spacing"/>
    <w:basedOn w:val="Bullet1"/>
    <w:uiPriority w:val="1"/>
    <w:rsid w:val="00B006E6"/>
    <w:pPr>
      <w:numPr>
        <w:ilvl w:val="1"/>
      </w:numPr>
      <w:ind w:left="1080"/>
    </w:pPr>
  </w:style>
  <w:style w:type="character" w:customStyle="1" w:styleId="Bullet1Char">
    <w:name w:val="Bullet 1 Char"/>
    <w:link w:val="Bullet1"/>
    <w:rsid w:val="00B006E6"/>
    <w:rPr>
      <w:rFonts w:ascii="Arial" w:eastAsia="Times New Roman" w:hAnsi="Arial" w:cs="Arial"/>
      <w:lang w:eastAsia="en-GB"/>
    </w:rPr>
  </w:style>
  <w:style w:type="paragraph" w:customStyle="1" w:styleId="Bulletwithspace">
    <w:name w:val="Bullet with space"/>
    <w:basedOn w:val="Bullet"/>
    <w:link w:val="BulletwithspaceChar"/>
    <w:rsid w:val="00B006E6"/>
    <w:pPr>
      <w:spacing w:after="80"/>
    </w:pPr>
  </w:style>
  <w:style w:type="paragraph" w:customStyle="1" w:styleId="Bullet3">
    <w:name w:val="Bullet 3"/>
    <w:basedOn w:val="NoParagraphStyle"/>
    <w:link w:val="Bullet3Char"/>
    <w:rsid w:val="00A00691"/>
    <w:pPr>
      <w:spacing w:after="80"/>
    </w:pPr>
    <w:rPr>
      <w:rFonts w:asciiTheme="minorHAnsi" w:hAnsiTheme="minorHAnsi"/>
      <w:sz w:val="22"/>
    </w:rPr>
  </w:style>
  <w:style w:type="character" w:customStyle="1" w:styleId="BulletwithspaceChar">
    <w:name w:val="Bullet with space Char"/>
    <w:basedOn w:val="BulletChar"/>
    <w:link w:val="Bulletwithspace"/>
    <w:rsid w:val="00B006E6"/>
  </w:style>
  <w:style w:type="character" w:customStyle="1" w:styleId="Bullet3Char">
    <w:name w:val="Bullet 3 Char"/>
    <w:basedOn w:val="BulletwithspaceChar"/>
    <w:link w:val="Bullet3"/>
    <w:rsid w:val="00A00691"/>
    <w:rPr>
      <w:rFonts w:cs="Minion Pro"/>
      <w:color w:val="000000"/>
      <w:szCs w:val="24"/>
    </w:rPr>
  </w:style>
  <w:style w:type="paragraph" w:customStyle="1" w:styleId="Boldstatement">
    <w:name w:val="Bold statement"/>
    <w:basedOn w:val="Normal"/>
    <w:link w:val="BoldstatementChar"/>
    <w:qFormat/>
    <w:rsid w:val="008154B8"/>
    <w:pPr>
      <w:spacing w:after="0"/>
    </w:pPr>
    <w:rPr>
      <w:b/>
    </w:rPr>
  </w:style>
  <w:style w:type="character" w:customStyle="1" w:styleId="BoldstatementChar">
    <w:name w:val="Bold statement Char"/>
    <w:basedOn w:val="DefaultParagraphFont"/>
    <w:link w:val="Boldstatement"/>
    <w:rsid w:val="008154B8"/>
    <w:rPr>
      <w:b/>
    </w:rPr>
  </w:style>
  <w:style w:type="paragraph" w:styleId="BalloonText">
    <w:name w:val="Balloon Text"/>
    <w:basedOn w:val="Normal"/>
    <w:link w:val="BalloonTextChar"/>
    <w:uiPriority w:val="99"/>
    <w:semiHidden/>
    <w:unhideWhenUsed/>
    <w:rsid w:val="005538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81E"/>
    <w:rPr>
      <w:rFonts w:ascii="Segoe UI" w:hAnsi="Segoe UI" w:cs="Segoe UI"/>
      <w:sz w:val="18"/>
      <w:szCs w:val="18"/>
    </w:rPr>
  </w:style>
  <w:style w:type="character" w:styleId="CommentReference">
    <w:name w:val="annotation reference"/>
    <w:basedOn w:val="DefaultParagraphFont"/>
    <w:uiPriority w:val="99"/>
    <w:semiHidden/>
    <w:unhideWhenUsed/>
    <w:rsid w:val="004035FF"/>
    <w:rPr>
      <w:sz w:val="16"/>
      <w:szCs w:val="16"/>
    </w:rPr>
  </w:style>
  <w:style w:type="paragraph" w:styleId="CommentText">
    <w:name w:val="annotation text"/>
    <w:basedOn w:val="Normal"/>
    <w:link w:val="CommentTextChar"/>
    <w:uiPriority w:val="99"/>
    <w:unhideWhenUsed/>
    <w:rsid w:val="004035FF"/>
    <w:rPr>
      <w:sz w:val="20"/>
      <w:szCs w:val="20"/>
    </w:rPr>
  </w:style>
  <w:style w:type="character" w:customStyle="1" w:styleId="CommentTextChar">
    <w:name w:val="Comment Text Char"/>
    <w:basedOn w:val="DefaultParagraphFont"/>
    <w:link w:val="CommentText"/>
    <w:uiPriority w:val="99"/>
    <w:rsid w:val="004035FF"/>
    <w:rPr>
      <w:sz w:val="20"/>
      <w:szCs w:val="20"/>
    </w:rPr>
  </w:style>
  <w:style w:type="paragraph" w:styleId="CommentSubject">
    <w:name w:val="annotation subject"/>
    <w:basedOn w:val="CommentText"/>
    <w:next w:val="CommentText"/>
    <w:link w:val="CommentSubjectChar"/>
    <w:uiPriority w:val="99"/>
    <w:semiHidden/>
    <w:unhideWhenUsed/>
    <w:rsid w:val="004035FF"/>
    <w:rPr>
      <w:b/>
      <w:bCs/>
    </w:rPr>
  </w:style>
  <w:style w:type="character" w:customStyle="1" w:styleId="CommentSubjectChar">
    <w:name w:val="Comment Subject Char"/>
    <w:basedOn w:val="CommentTextChar"/>
    <w:link w:val="CommentSubject"/>
    <w:uiPriority w:val="99"/>
    <w:semiHidden/>
    <w:rsid w:val="004035FF"/>
    <w:rPr>
      <w:b/>
      <w:bCs/>
      <w:sz w:val="20"/>
      <w:szCs w:val="20"/>
    </w:rPr>
  </w:style>
  <w:style w:type="paragraph" w:styleId="Revision">
    <w:name w:val="Revision"/>
    <w:hidden/>
    <w:uiPriority w:val="99"/>
    <w:semiHidden/>
    <w:rsid w:val="00E96FC4"/>
    <w:pPr>
      <w:spacing w:after="0" w:line="240" w:lineRule="auto"/>
    </w:pPr>
  </w:style>
  <w:style w:type="paragraph" w:styleId="NormalWeb">
    <w:name w:val="Normal (Web)"/>
    <w:basedOn w:val="Normal"/>
    <w:uiPriority w:val="99"/>
    <w:unhideWhenUsed/>
    <w:rsid w:val="002E4A7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77131">
      <w:bodyDiv w:val="1"/>
      <w:marLeft w:val="0"/>
      <w:marRight w:val="0"/>
      <w:marTop w:val="0"/>
      <w:marBottom w:val="0"/>
      <w:divBdr>
        <w:top w:val="none" w:sz="0" w:space="0" w:color="auto"/>
        <w:left w:val="none" w:sz="0" w:space="0" w:color="auto"/>
        <w:bottom w:val="none" w:sz="0" w:space="0" w:color="auto"/>
        <w:right w:val="none" w:sz="0" w:space="0" w:color="auto"/>
      </w:divBdr>
    </w:div>
    <w:div w:id="632177492">
      <w:bodyDiv w:val="1"/>
      <w:marLeft w:val="0"/>
      <w:marRight w:val="0"/>
      <w:marTop w:val="0"/>
      <w:marBottom w:val="0"/>
      <w:divBdr>
        <w:top w:val="none" w:sz="0" w:space="0" w:color="auto"/>
        <w:left w:val="none" w:sz="0" w:space="0" w:color="auto"/>
        <w:bottom w:val="none" w:sz="0" w:space="0" w:color="auto"/>
        <w:right w:val="none" w:sz="0" w:space="0" w:color="auto"/>
      </w:divBdr>
      <w:divsChild>
        <w:div w:id="288779896">
          <w:marLeft w:val="0"/>
          <w:marRight w:val="0"/>
          <w:marTop w:val="0"/>
          <w:marBottom w:val="0"/>
          <w:divBdr>
            <w:top w:val="none" w:sz="0" w:space="0" w:color="auto"/>
            <w:left w:val="none" w:sz="0" w:space="0" w:color="auto"/>
            <w:bottom w:val="none" w:sz="0" w:space="0" w:color="auto"/>
            <w:right w:val="none" w:sz="0" w:space="0" w:color="auto"/>
          </w:divBdr>
          <w:divsChild>
            <w:div w:id="408965827">
              <w:marLeft w:val="-225"/>
              <w:marRight w:val="-225"/>
              <w:marTop w:val="0"/>
              <w:marBottom w:val="0"/>
              <w:divBdr>
                <w:top w:val="none" w:sz="0" w:space="0" w:color="auto"/>
                <w:left w:val="none" w:sz="0" w:space="0" w:color="auto"/>
                <w:bottom w:val="none" w:sz="0" w:space="0" w:color="auto"/>
                <w:right w:val="none" w:sz="0" w:space="0" w:color="auto"/>
              </w:divBdr>
              <w:divsChild>
                <w:div w:id="1313368906">
                  <w:marLeft w:val="0"/>
                  <w:marRight w:val="0"/>
                  <w:marTop w:val="0"/>
                  <w:marBottom w:val="0"/>
                  <w:divBdr>
                    <w:top w:val="none" w:sz="0" w:space="0" w:color="auto"/>
                    <w:left w:val="none" w:sz="0" w:space="0" w:color="auto"/>
                    <w:bottom w:val="none" w:sz="0" w:space="0" w:color="auto"/>
                    <w:right w:val="none" w:sz="0" w:space="0" w:color="auto"/>
                  </w:divBdr>
                  <w:divsChild>
                    <w:div w:id="178083017">
                      <w:marLeft w:val="0"/>
                      <w:marRight w:val="0"/>
                      <w:marTop w:val="0"/>
                      <w:marBottom w:val="0"/>
                      <w:divBdr>
                        <w:top w:val="none" w:sz="0" w:space="0" w:color="auto"/>
                        <w:left w:val="none" w:sz="0" w:space="0" w:color="auto"/>
                        <w:bottom w:val="none" w:sz="0" w:space="0" w:color="auto"/>
                        <w:right w:val="none" w:sz="0" w:space="0" w:color="auto"/>
                      </w:divBdr>
                      <w:divsChild>
                        <w:div w:id="1118910812">
                          <w:marLeft w:val="0"/>
                          <w:marRight w:val="0"/>
                          <w:marTop w:val="0"/>
                          <w:marBottom w:val="0"/>
                          <w:divBdr>
                            <w:top w:val="none" w:sz="0" w:space="0" w:color="auto"/>
                            <w:left w:val="none" w:sz="0" w:space="0" w:color="auto"/>
                            <w:bottom w:val="none" w:sz="0" w:space="0" w:color="auto"/>
                            <w:right w:val="none" w:sz="0" w:space="0" w:color="auto"/>
                          </w:divBdr>
                          <w:divsChild>
                            <w:div w:id="1586570027">
                              <w:marLeft w:val="0"/>
                              <w:marRight w:val="0"/>
                              <w:marTop w:val="0"/>
                              <w:marBottom w:val="0"/>
                              <w:divBdr>
                                <w:top w:val="none" w:sz="0" w:space="0" w:color="auto"/>
                                <w:left w:val="none" w:sz="0" w:space="0" w:color="auto"/>
                                <w:bottom w:val="none" w:sz="0" w:space="0" w:color="auto"/>
                                <w:right w:val="none" w:sz="0" w:space="0" w:color="auto"/>
                              </w:divBdr>
                              <w:divsChild>
                                <w:div w:id="959610734">
                                  <w:marLeft w:val="0"/>
                                  <w:marRight w:val="0"/>
                                  <w:marTop w:val="0"/>
                                  <w:marBottom w:val="0"/>
                                  <w:divBdr>
                                    <w:top w:val="none" w:sz="0" w:space="0" w:color="auto"/>
                                    <w:left w:val="none" w:sz="0" w:space="0" w:color="auto"/>
                                    <w:bottom w:val="none" w:sz="0" w:space="0" w:color="auto"/>
                                    <w:right w:val="none" w:sz="0" w:space="0" w:color="auto"/>
                                  </w:divBdr>
                                  <w:divsChild>
                                    <w:div w:id="10172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453069">
      <w:bodyDiv w:val="1"/>
      <w:marLeft w:val="0"/>
      <w:marRight w:val="0"/>
      <w:marTop w:val="0"/>
      <w:marBottom w:val="0"/>
      <w:divBdr>
        <w:top w:val="none" w:sz="0" w:space="0" w:color="auto"/>
        <w:left w:val="none" w:sz="0" w:space="0" w:color="auto"/>
        <w:bottom w:val="none" w:sz="0" w:space="0" w:color="auto"/>
        <w:right w:val="none" w:sz="0" w:space="0" w:color="auto"/>
      </w:divBdr>
      <w:divsChild>
        <w:div w:id="1761487889">
          <w:marLeft w:val="0"/>
          <w:marRight w:val="0"/>
          <w:marTop w:val="0"/>
          <w:marBottom w:val="0"/>
          <w:divBdr>
            <w:top w:val="none" w:sz="0" w:space="0" w:color="auto"/>
            <w:left w:val="none" w:sz="0" w:space="0" w:color="auto"/>
            <w:bottom w:val="none" w:sz="0" w:space="0" w:color="auto"/>
            <w:right w:val="none" w:sz="0" w:space="0" w:color="auto"/>
          </w:divBdr>
          <w:divsChild>
            <w:div w:id="1006252138">
              <w:marLeft w:val="0"/>
              <w:marRight w:val="0"/>
              <w:marTop w:val="100"/>
              <w:marBottom w:val="100"/>
              <w:divBdr>
                <w:top w:val="none" w:sz="0" w:space="0" w:color="auto"/>
                <w:left w:val="none" w:sz="0" w:space="0" w:color="auto"/>
                <w:bottom w:val="none" w:sz="0" w:space="0" w:color="auto"/>
                <w:right w:val="none" w:sz="0" w:space="0" w:color="auto"/>
              </w:divBdr>
              <w:divsChild>
                <w:div w:id="602226023">
                  <w:marLeft w:val="0"/>
                  <w:marRight w:val="0"/>
                  <w:marTop w:val="0"/>
                  <w:marBottom w:val="0"/>
                  <w:divBdr>
                    <w:top w:val="none" w:sz="0" w:space="0" w:color="auto"/>
                    <w:left w:val="none" w:sz="0" w:space="0" w:color="auto"/>
                    <w:bottom w:val="none" w:sz="0" w:space="0" w:color="auto"/>
                    <w:right w:val="none" w:sz="0" w:space="0" w:color="auto"/>
                  </w:divBdr>
                  <w:divsChild>
                    <w:div w:id="2034725757">
                      <w:marLeft w:val="0"/>
                      <w:marRight w:val="0"/>
                      <w:marTop w:val="0"/>
                      <w:marBottom w:val="0"/>
                      <w:divBdr>
                        <w:top w:val="none" w:sz="0" w:space="0" w:color="auto"/>
                        <w:left w:val="none" w:sz="0" w:space="0" w:color="auto"/>
                        <w:bottom w:val="none" w:sz="0" w:space="0" w:color="auto"/>
                        <w:right w:val="none" w:sz="0" w:space="0" w:color="auto"/>
                      </w:divBdr>
                      <w:divsChild>
                        <w:div w:id="219899707">
                          <w:marLeft w:val="0"/>
                          <w:marRight w:val="0"/>
                          <w:marTop w:val="0"/>
                          <w:marBottom w:val="0"/>
                          <w:divBdr>
                            <w:top w:val="none" w:sz="0" w:space="0" w:color="auto"/>
                            <w:left w:val="none" w:sz="0" w:space="0" w:color="auto"/>
                            <w:bottom w:val="none" w:sz="0" w:space="0" w:color="auto"/>
                            <w:right w:val="none" w:sz="0" w:space="0" w:color="auto"/>
                          </w:divBdr>
                          <w:divsChild>
                            <w:div w:id="1161431218">
                              <w:marLeft w:val="0"/>
                              <w:marRight w:val="0"/>
                              <w:marTop w:val="0"/>
                              <w:marBottom w:val="0"/>
                              <w:divBdr>
                                <w:top w:val="none" w:sz="0" w:space="0" w:color="auto"/>
                                <w:left w:val="none" w:sz="0" w:space="0" w:color="auto"/>
                                <w:bottom w:val="none" w:sz="0" w:space="0" w:color="auto"/>
                                <w:right w:val="none" w:sz="0" w:space="0" w:color="auto"/>
                              </w:divBdr>
                              <w:divsChild>
                                <w:div w:id="1100904838">
                                  <w:marLeft w:val="0"/>
                                  <w:marRight w:val="0"/>
                                  <w:marTop w:val="0"/>
                                  <w:marBottom w:val="0"/>
                                  <w:divBdr>
                                    <w:top w:val="none" w:sz="0" w:space="0" w:color="auto"/>
                                    <w:left w:val="none" w:sz="0" w:space="0" w:color="auto"/>
                                    <w:bottom w:val="none" w:sz="0" w:space="0" w:color="auto"/>
                                    <w:right w:val="none" w:sz="0" w:space="0" w:color="auto"/>
                                  </w:divBdr>
                                  <w:divsChild>
                                    <w:div w:id="2121532258">
                                      <w:marLeft w:val="-300"/>
                                      <w:marRight w:val="-300"/>
                                      <w:marTop w:val="0"/>
                                      <w:marBottom w:val="0"/>
                                      <w:divBdr>
                                        <w:top w:val="none" w:sz="0" w:space="0" w:color="auto"/>
                                        <w:left w:val="none" w:sz="0" w:space="0" w:color="auto"/>
                                        <w:bottom w:val="none" w:sz="0" w:space="0" w:color="auto"/>
                                        <w:right w:val="none" w:sz="0" w:space="0" w:color="auto"/>
                                      </w:divBdr>
                                      <w:divsChild>
                                        <w:div w:id="275453460">
                                          <w:marLeft w:val="0"/>
                                          <w:marRight w:val="0"/>
                                          <w:marTop w:val="0"/>
                                          <w:marBottom w:val="0"/>
                                          <w:divBdr>
                                            <w:top w:val="none" w:sz="0" w:space="0" w:color="auto"/>
                                            <w:left w:val="none" w:sz="0" w:space="0" w:color="auto"/>
                                            <w:bottom w:val="none" w:sz="0" w:space="0" w:color="auto"/>
                                            <w:right w:val="none" w:sz="0" w:space="0" w:color="auto"/>
                                          </w:divBdr>
                                          <w:divsChild>
                                            <w:div w:id="1281719488">
                                              <w:marLeft w:val="0"/>
                                              <w:marRight w:val="0"/>
                                              <w:marTop w:val="0"/>
                                              <w:marBottom w:val="0"/>
                                              <w:divBdr>
                                                <w:top w:val="none" w:sz="0" w:space="0" w:color="auto"/>
                                                <w:left w:val="none" w:sz="0" w:space="0" w:color="auto"/>
                                                <w:bottom w:val="none" w:sz="0" w:space="0" w:color="auto"/>
                                                <w:right w:val="none" w:sz="0" w:space="0" w:color="auto"/>
                                              </w:divBdr>
                                              <w:divsChild>
                                                <w:div w:id="13667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684710">
      <w:bodyDiv w:val="1"/>
      <w:marLeft w:val="0"/>
      <w:marRight w:val="0"/>
      <w:marTop w:val="0"/>
      <w:marBottom w:val="0"/>
      <w:divBdr>
        <w:top w:val="none" w:sz="0" w:space="0" w:color="auto"/>
        <w:left w:val="none" w:sz="0" w:space="0" w:color="auto"/>
        <w:bottom w:val="none" w:sz="0" w:space="0" w:color="auto"/>
        <w:right w:val="none" w:sz="0" w:space="0" w:color="auto"/>
      </w:divBdr>
      <w:divsChild>
        <w:div w:id="1917593475">
          <w:marLeft w:val="0"/>
          <w:marRight w:val="0"/>
          <w:marTop w:val="0"/>
          <w:marBottom w:val="0"/>
          <w:divBdr>
            <w:top w:val="none" w:sz="0" w:space="0" w:color="auto"/>
            <w:left w:val="none" w:sz="0" w:space="0" w:color="auto"/>
            <w:bottom w:val="none" w:sz="0" w:space="0" w:color="auto"/>
            <w:right w:val="none" w:sz="0" w:space="0" w:color="auto"/>
          </w:divBdr>
          <w:divsChild>
            <w:div w:id="343676956">
              <w:marLeft w:val="0"/>
              <w:marRight w:val="0"/>
              <w:marTop w:val="0"/>
              <w:marBottom w:val="900"/>
              <w:divBdr>
                <w:top w:val="none" w:sz="0" w:space="0" w:color="auto"/>
                <w:left w:val="none" w:sz="0" w:space="0" w:color="auto"/>
                <w:bottom w:val="none" w:sz="0" w:space="0" w:color="auto"/>
                <w:right w:val="none" w:sz="0" w:space="0" w:color="auto"/>
              </w:divBdr>
              <w:divsChild>
                <w:div w:id="2078169535">
                  <w:marLeft w:val="0"/>
                  <w:marRight w:val="0"/>
                  <w:marTop w:val="900"/>
                  <w:marBottom w:val="0"/>
                  <w:divBdr>
                    <w:top w:val="none" w:sz="0" w:space="0" w:color="auto"/>
                    <w:left w:val="none" w:sz="0" w:space="0" w:color="auto"/>
                    <w:bottom w:val="none" w:sz="0" w:space="0" w:color="auto"/>
                    <w:right w:val="none" w:sz="0" w:space="0" w:color="auto"/>
                  </w:divBdr>
                  <w:divsChild>
                    <w:div w:id="1503203155">
                      <w:marLeft w:val="0"/>
                      <w:marRight w:val="0"/>
                      <w:marTop w:val="0"/>
                      <w:marBottom w:val="0"/>
                      <w:divBdr>
                        <w:top w:val="none" w:sz="0" w:space="0" w:color="auto"/>
                        <w:left w:val="none" w:sz="0" w:space="0" w:color="auto"/>
                        <w:bottom w:val="none" w:sz="0" w:space="0" w:color="auto"/>
                        <w:right w:val="none" w:sz="0" w:space="0" w:color="auto"/>
                      </w:divBdr>
                      <w:divsChild>
                        <w:div w:id="2034111472">
                          <w:marLeft w:val="0"/>
                          <w:marRight w:val="0"/>
                          <w:marTop w:val="0"/>
                          <w:marBottom w:val="0"/>
                          <w:divBdr>
                            <w:top w:val="none" w:sz="0" w:space="0" w:color="auto"/>
                            <w:left w:val="none" w:sz="0" w:space="0" w:color="auto"/>
                            <w:bottom w:val="none" w:sz="0" w:space="0" w:color="auto"/>
                            <w:right w:val="none" w:sz="0" w:space="0" w:color="auto"/>
                          </w:divBdr>
                          <w:divsChild>
                            <w:div w:id="871772997">
                              <w:marLeft w:val="0"/>
                              <w:marRight w:val="0"/>
                              <w:marTop w:val="0"/>
                              <w:marBottom w:val="0"/>
                              <w:divBdr>
                                <w:top w:val="none" w:sz="0" w:space="0" w:color="auto"/>
                                <w:left w:val="none" w:sz="0" w:space="0" w:color="auto"/>
                                <w:bottom w:val="none" w:sz="0" w:space="0" w:color="auto"/>
                                <w:right w:val="none" w:sz="0" w:space="0" w:color="auto"/>
                              </w:divBdr>
                              <w:divsChild>
                                <w:div w:id="15518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793034">
      <w:bodyDiv w:val="1"/>
      <w:marLeft w:val="0"/>
      <w:marRight w:val="0"/>
      <w:marTop w:val="0"/>
      <w:marBottom w:val="0"/>
      <w:divBdr>
        <w:top w:val="none" w:sz="0" w:space="0" w:color="auto"/>
        <w:left w:val="none" w:sz="0" w:space="0" w:color="auto"/>
        <w:bottom w:val="none" w:sz="0" w:space="0" w:color="auto"/>
        <w:right w:val="none" w:sz="0" w:space="0" w:color="auto"/>
      </w:divBdr>
    </w:div>
    <w:div w:id="170821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orris\AppData\Local\Temp\Temp2_Templates.zip\Templates\VTCT_Unit_Specification_Template_Dual%20Brand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81982E-0A41-4CC3-8673-7A870B382DAA}">
  <we:reference id="wa103136166" version="1.2.0.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101337D0008D41A49097C86BE1EF30" ma:contentTypeVersion="13" ma:contentTypeDescription="Create a new document." ma:contentTypeScope="" ma:versionID="23a2aa57db988515378c0d08974c2ce2">
  <xsd:schema xmlns:xsd="http://www.w3.org/2001/XMLSchema" xmlns:xs="http://www.w3.org/2001/XMLSchema" xmlns:p="http://schemas.microsoft.com/office/2006/metadata/properties" xmlns:ns2="02144885-7f25-44a9-bf41-7f99576eb6b9" xmlns:ns3="64724966-3219-463a-aee9-fd18aca82b3e" targetNamespace="http://schemas.microsoft.com/office/2006/metadata/properties" ma:root="true" ma:fieldsID="7af1526f8528cecaf5c0813e54277cee" ns2:_="" ns3:_="">
    <xsd:import namespace="02144885-7f25-44a9-bf41-7f99576eb6b9"/>
    <xsd:import namespace="64724966-3219-463a-aee9-fd18aca82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44885-7f25-44a9-bf41-7f99576eb6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724966-3219-463a-aee9-fd18aca82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9EFB78-6A84-4C4B-B3E5-2946E3975033}">
  <ds:schemaRefs>
    <ds:schemaRef ds:uri="http://schemas.microsoft.com/sharepoint/v3/contenttype/forms"/>
  </ds:schemaRefs>
</ds:datastoreItem>
</file>

<file path=customXml/itemProps2.xml><?xml version="1.0" encoding="utf-8"?>
<ds:datastoreItem xmlns:ds="http://schemas.openxmlformats.org/officeDocument/2006/customXml" ds:itemID="{9132AD34-20CC-448A-A3E0-06EECFBC4517}"/>
</file>

<file path=customXml/itemProps3.xml><?xml version="1.0" encoding="utf-8"?>
<ds:datastoreItem xmlns:ds="http://schemas.openxmlformats.org/officeDocument/2006/customXml" ds:itemID="{B17CCB48-286A-4D62-B5B3-D8DA8BCDF83D}">
  <ds:schemaRefs>
    <ds:schemaRef ds:uri="http://schemas.openxmlformats.org/officeDocument/2006/bibliography"/>
  </ds:schemaRefs>
</ds:datastoreItem>
</file>

<file path=customXml/itemProps4.xml><?xml version="1.0" encoding="utf-8"?>
<ds:datastoreItem xmlns:ds="http://schemas.openxmlformats.org/officeDocument/2006/customXml" ds:itemID="{811F987A-65C6-4AEB-AD58-0F3BD326D4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C:\Users\dmorris\AppData\Local\Temp\Temp2_Templates.zip\Templates\VTCT_Unit_Specification_Template_Dual Brand_v2.dotx</Template>
  <TotalTime>6847</TotalTime>
  <Pages>15</Pages>
  <Words>3568</Words>
  <Characters>20339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Morris</dc:creator>
  <cp:keywords/>
  <dc:description/>
  <cp:lastModifiedBy>Olding, James</cp:lastModifiedBy>
  <cp:revision>42</cp:revision>
  <cp:lastPrinted>2020-02-14T13:36:00Z</cp:lastPrinted>
  <dcterms:created xsi:type="dcterms:W3CDTF">2020-12-17T13:53:00Z</dcterms:created>
  <dcterms:modified xsi:type="dcterms:W3CDTF">2021-08-17T20:05:00Z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0x01010076101337D0008D41A49097C86BE1EF30</vt:lpwstr>
  </property>
</Properties>
</file>